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48AF" w14:textId="7D4DCBB0" w:rsidR="008F2F96" w:rsidRPr="005820F7" w:rsidRDefault="008F2F96" w:rsidP="008F2F96">
      <w:pPr>
        <w:tabs>
          <w:tab w:val="center" w:pos="4320"/>
        </w:tabs>
        <w:spacing w:after="0" w:line="240" w:lineRule="auto"/>
        <w:jc w:val="right"/>
        <w:rPr>
          <w:rFonts w:ascii="Cambria" w:eastAsia="Calibri" w:hAnsi="Cambria" w:cs="Arial"/>
          <w:b/>
          <w:bCs/>
        </w:rPr>
      </w:pPr>
      <w:bookmarkStart w:id="0" w:name="_Hlk123560203"/>
      <w:bookmarkStart w:id="1" w:name="_Hlk183884598"/>
      <w:r w:rsidRPr="005820F7">
        <w:rPr>
          <w:rFonts w:ascii="Cambria" w:eastAsia="Calibri" w:hAnsi="Cambria" w:cs="Arial"/>
          <w:b/>
          <w:bCs/>
        </w:rPr>
        <w:t>Jurnal Ilmu Hukum</w:t>
      </w:r>
    </w:p>
    <w:p w14:paraId="1D874AA0" w14:textId="77777777" w:rsidR="008F2F96" w:rsidRPr="005820F7" w:rsidRDefault="008F2F96" w:rsidP="008F2F96">
      <w:pPr>
        <w:tabs>
          <w:tab w:val="center" w:pos="4320"/>
        </w:tabs>
        <w:spacing w:after="0" w:line="240" w:lineRule="auto"/>
        <w:jc w:val="right"/>
        <w:rPr>
          <w:rFonts w:ascii="Cambria" w:eastAsia="Calibri" w:hAnsi="Cambria" w:cs="Arial"/>
          <w:b/>
          <w:bCs/>
        </w:rPr>
      </w:pPr>
      <w:r w:rsidRPr="005820F7">
        <w:rPr>
          <w:rFonts w:ascii="Cambria" w:eastAsia="Calibri" w:hAnsi="Cambria" w:cs="Arial"/>
          <w:b/>
          <w:bCs/>
        </w:rPr>
        <w:t xml:space="preserve">Volume </w:t>
      </w:r>
      <w:r>
        <w:rPr>
          <w:rFonts w:ascii="Cambria" w:eastAsia="Calibri" w:hAnsi="Cambria" w:cs="Arial"/>
          <w:b/>
          <w:bCs/>
        </w:rPr>
        <w:t>3</w:t>
      </w:r>
      <w:r w:rsidRPr="005820F7">
        <w:rPr>
          <w:rFonts w:ascii="Cambria" w:eastAsia="Calibri" w:hAnsi="Cambria" w:cs="Arial"/>
          <w:b/>
          <w:bCs/>
        </w:rPr>
        <w:t xml:space="preserve"> Nomor </w:t>
      </w:r>
      <w:r>
        <w:rPr>
          <w:rFonts w:ascii="Cambria" w:eastAsia="Calibri" w:hAnsi="Cambria" w:cs="Arial"/>
          <w:b/>
          <w:bCs/>
        </w:rPr>
        <w:t>2</w:t>
      </w:r>
      <w:r w:rsidRPr="005820F7">
        <w:rPr>
          <w:rFonts w:ascii="Cambria" w:eastAsia="Calibri" w:hAnsi="Cambria" w:cs="Arial"/>
          <w:b/>
          <w:bCs/>
        </w:rPr>
        <w:t xml:space="preserve"> Tahun 202</w:t>
      </w:r>
      <w:r>
        <w:rPr>
          <w:rFonts w:ascii="Cambria" w:eastAsia="Calibri" w:hAnsi="Cambria" w:cs="Arial"/>
          <w:b/>
          <w:bCs/>
        </w:rPr>
        <w:t>5</w:t>
      </w:r>
    </w:p>
    <w:p w14:paraId="6A46A913" w14:textId="77777777" w:rsidR="008F2F96" w:rsidRPr="005820F7" w:rsidRDefault="008F2F96" w:rsidP="008F2F96">
      <w:pPr>
        <w:tabs>
          <w:tab w:val="center" w:pos="4320"/>
        </w:tabs>
        <w:spacing w:after="0" w:line="240" w:lineRule="auto"/>
        <w:ind w:firstLine="567"/>
        <w:jc w:val="right"/>
        <w:rPr>
          <w:rFonts w:ascii="Cambria" w:eastAsia="Calibri" w:hAnsi="Cambria" w:cs="Arial"/>
          <w:b/>
          <w:bCs/>
        </w:rPr>
      </w:pPr>
      <w:r w:rsidRPr="005820F7">
        <w:rPr>
          <w:rFonts w:ascii="Cambria" w:eastAsia="Calibri" w:hAnsi="Cambria" w:cs="Arial"/>
          <w:b/>
          <w:bCs/>
        </w:rPr>
        <w:t>ISSN : 2964-1209 (Online)</w:t>
      </w:r>
    </w:p>
    <w:p w14:paraId="33D12CA6" w14:textId="77777777" w:rsidR="008F2F96" w:rsidRPr="005820F7" w:rsidRDefault="008F2F96" w:rsidP="008F2F96">
      <w:pPr>
        <w:tabs>
          <w:tab w:val="center" w:pos="4320"/>
        </w:tabs>
        <w:spacing w:after="0" w:line="240" w:lineRule="auto"/>
        <w:ind w:firstLine="567"/>
        <w:jc w:val="right"/>
        <w:rPr>
          <w:rFonts w:ascii="Cambria" w:eastAsia="Calibri" w:hAnsi="Cambria" w:cs="Arial"/>
          <w:b/>
          <w:bCs/>
        </w:rPr>
      </w:pPr>
      <w:r w:rsidRPr="005820F7">
        <w:rPr>
          <w:rFonts w:ascii="Cambria" w:eastAsia="Calibri" w:hAnsi="Cambria" w:cs="Arial"/>
          <w:b/>
          <w:bCs/>
        </w:rPr>
        <w:t>Http: //jurnal.iaih.ac.id/index.php/JURIH</w:t>
      </w:r>
    </w:p>
    <w:bookmarkEnd w:id="0"/>
    <w:p w14:paraId="60852FF9" w14:textId="6E228EEF" w:rsidR="008F2F96" w:rsidRPr="00A20353" w:rsidRDefault="008F2F96" w:rsidP="008F2F96">
      <w:pPr>
        <w:tabs>
          <w:tab w:val="center" w:pos="4320"/>
        </w:tabs>
        <w:spacing w:after="0" w:line="360" w:lineRule="auto"/>
        <w:ind w:firstLine="567"/>
        <w:jc w:val="right"/>
        <w:rPr>
          <w:rFonts w:ascii="Cambria" w:eastAsia="Calibri" w:hAnsi="Cambria" w:cs="Arial"/>
          <w:b/>
          <w:bCs/>
          <w:lang w:val="en-US"/>
        </w:rPr>
      </w:pPr>
      <w:r w:rsidRPr="005820F7">
        <w:rPr>
          <w:rFonts w:ascii="Calibri" w:eastAsia="Calibri" w:hAnsi="Calibri" w:cs="Arial"/>
          <w:noProof/>
        </w:rPr>
        <mc:AlternateContent>
          <mc:Choice Requires="wps">
            <w:drawing>
              <wp:anchor distT="4294967295" distB="4294967295" distL="114300" distR="114300" simplePos="0" relativeHeight="251659264" behindDoc="0" locked="0" layoutInCell="1" allowOverlap="1" wp14:anchorId="7F06DE8C" wp14:editId="45948AE2">
                <wp:simplePos x="0" y="0"/>
                <wp:positionH relativeFrom="column">
                  <wp:posOffset>15240</wp:posOffset>
                </wp:positionH>
                <wp:positionV relativeFrom="paragraph">
                  <wp:posOffset>114299</wp:posOffset>
                </wp:positionV>
                <wp:extent cx="5381625" cy="0"/>
                <wp:effectExtent l="0" t="19050" r="9525"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55513A" id="_x0000_t32" coordsize="21600,21600" o:spt="32" o:oned="t" path="m,l21600,21600e" filled="f">
                <v:path arrowok="t" fillok="f" o:connecttype="none"/>
                <o:lock v:ext="edit" shapetype="t"/>
              </v:shapetype>
              <v:shape id="Straight Arrow Connector 1" o:spid="_x0000_s1026" type="#_x0000_t32" style="position:absolute;margin-left:1.2pt;margin-top:9pt;width:423.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" strokeweight="3pt"/>
            </w:pict>
          </mc:Fallback>
        </mc:AlternateContent>
      </w:r>
      <w:bookmarkEnd w:id="1"/>
    </w:p>
    <w:p w14:paraId="145E5A2D" w14:textId="13C1FA37" w:rsidR="005947C0" w:rsidRPr="006414C0" w:rsidRDefault="00A20353">
      <w:pPr>
        <w:spacing w:after="115" w:line="259" w:lineRule="auto"/>
        <w:ind w:right="41" w:firstLine="0"/>
        <w:jc w:val="center"/>
        <w:rPr>
          <w:b/>
          <w:szCs w:val="24"/>
        </w:rPr>
      </w:pPr>
      <w:bookmarkStart w:id="2" w:name="_Hlk207549154"/>
      <w:r w:rsidRPr="006414C0">
        <w:rPr>
          <w:b/>
          <w:szCs w:val="24"/>
        </w:rPr>
        <w:t>KAJIAN KITAB AL-TA’YIN FI SYARH AL-ARBA’IN</w:t>
      </w:r>
      <w:bookmarkEnd w:id="2"/>
      <w:r w:rsidRPr="006414C0">
        <w:rPr>
          <w:b/>
          <w:szCs w:val="24"/>
        </w:rPr>
        <w:t xml:space="preserve"> KARYA AL-THUFI </w:t>
      </w:r>
    </w:p>
    <w:p w14:paraId="02B6398F" w14:textId="54279FD1" w:rsidR="00A9309D" w:rsidRPr="006414C0" w:rsidRDefault="00A20353">
      <w:pPr>
        <w:spacing w:after="115" w:line="259" w:lineRule="auto"/>
        <w:ind w:right="41" w:firstLine="0"/>
        <w:jc w:val="center"/>
        <w:rPr>
          <w:szCs w:val="24"/>
        </w:rPr>
      </w:pPr>
      <w:r w:rsidRPr="006414C0">
        <w:rPr>
          <w:b/>
          <w:szCs w:val="24"/>
        </w:rPr>
        <w:t xml:space="preserve">(KESETARAAN GENDER PANDANGAN </w:t>
      </w:r>
      <w:r w:rsidRPr="006414C0">
        <w:rPr>
          <w:b/>
          <w:bCs/>
          <w:szCs w:val="24"/>
        </w:rPr>
        <w:t>NAJM AL-DĪN AL-ṬŪFĪ)</w:t>
      </w:r>
    </w:p>
    <w:p w14:paraId="23CAC1D2" w14:textId="48325146" w:rsidR="005947C0" w:rsidRPr="00A20353" w:rsidRDefault="008B201F" w:rsidP="00A20353">
      <w:pPr>
        <w:spacing w:before="240" w:after="0" w:line="360" w:lineRule="auto"/>
        <w:ind w:firstLine="0"/>
        <w:jc w:val="center"/>
        <w:rPr>
          <w:b/>
          <w:bCs/>
          <w:szCs w:val="24"/>
        </w:rPr>
      </w:pPr>
      <w:r w:rsidRPr="00A20353">
        <w:rPr>
          <w:b/>
          <w:bCs/>
          <w:szCs w:val="24"/>
        </w:rPr>
        <w:t xml:space="preserve">Adinda Putri Yuliani </w:t>
      </w:r>
    </w:p>
    <w:p w14:paraId="4D64C252" w14:textId="09EAE477" w:rsidR="00A20353" w:rsidRPr="00A20353" w:rsidRDefault="00A20353" w:rsidP="00A20353">
      <w:pPr>
        <w:spacing w:after="0" w:line="360" w:lineRule="auto"/>
        <w:ind w:right="47" w:firstLine="0"/>
        <w:jc w:val="center"/>
        <w:rPr>
          <w:i/>
          <w:iCs/>
          <w:szCs w:val="24"/>
          <w:lang w:val="en-US"/>
        </w:rPr>
      </w:pPr>
      <w:r w:rsidRPr="00A20353">
        <w:rPr>
          <w:i/>
          <w:iCs/>
          <w:szCs w:val="24"/>
          <w:lang w:val="en-US"/>
        </w:rPr>
        <w:t>Universitas Islam Negeri Syekh Wasil Kediri</w:t>
      </w:r>
    </w:p>
    <w:p w14:paraId="347A68D6" w14:textId="4A8BE7C9" w:rsidR="005947C0" w:rsidRPr="00A20353" w:rsidRDefault="008B201F" w:rsidP="00A20353">
      <w:pPr>
        <w:spacing w:after="0" w:line="360" w:lineRule="auto"/>
        <w:ind w:right="47" w:firstLine="0"/>
        <w:jc w:val="center"/>
        <w:rPr>
          <w:b/>
          <w:bCs/>
          <w:szCs w:val="24"/>
        </w:rPr>
      </w:pPr>
      <w:r w:rsidRPr="00A20353">
        <w:rPr>
          <w:b/>
          <w:bCs/>
          <w:szCs w:val="24"/>
        </w:rPr>
        <w:t xml:space="preserve">Ummi Halimatus Sa’diyah Kusnah Fiantika </w:t>
      </w:r>
    </w:p>
    <w:p w14:paraId="7447E5BB" w14:textId="0C5AF56C" w:rsidR="00A20353" w:rsidRPr="00A20353" w:rsidRDefault="00A20353" w:rsidP="00A20353">
      <w:pPr>
        <w:spacing w:after="0" w:line="360" w:lineRule="auto"/>
        <w:ind w:right="47" w:firstLine="0"/>
        <w:jc w:val="center"/>
        <w:rPr>
          <w:i/>
          <w:iCs/>
          <w:szCs w:val="24"/>
          <w:lang w:val="en-US"/>
        </w:rPr>
      </w:pPr>
      <w:r w:rsidRPr="00A20353">
        <w:rPr>
          <w:i/>
          <w:iCs/>
          <w:szCs w:val="24"/>
          <w:lang w:val="en-US"/>
        </w:rPr>
        <w:t>Universitas Islam Negeri Syekh Wasil Kediri</w:t>
      </w:r>
    </w:p>
    <w:p w14:paraId="3D99D3AD" w14:textId="283F5E02" w:rsidR="00A20353" w:rsidRPr="00A20353" w:rsidRDefault="00A20353" w:rsidP="00A20353">
      <w:pPr>
        <w:spacing w:after="0" w:line="360" w:lineRule="auto"/>
        <w:ind w:right="47" w:firstLine="0"/>
        <w:jc w:val="center"/>
        <w:rPr>
          <w:i/>
          <w:iCs/>
          <w:szCs w:val="24"/>
        </w:rPr>
      </w:pPr>
      <w:r w:rsidRPr="00A20353">
        <w:rPr>
          <w:i/>
          <w:iCs/>
          <w:szCs w:val="24"/>
          <w:shd w:val="clear" w:color="auto" w:fill="FFFFFF"/>
        </w:rPr>
        <w:t>ummihalimatus123@gmail.com</w:t>
      </w:r>
    </w:p>
    <w:p w14:paraId="5714B887" w14:textId="77777777" w:rsidR="005947C0" w:rsidRPr="006414C0" w:rsidRDefault="008B201F">
      <w:pPr>
        <w:spacing w:after="275" w:line="259" w:lineRule="auto"/>
        <w:ind w:right="0" w:firstLine="0"/>
        <w:jc w:val="left"/>
        <w:rPr>
          <w:szCs w:val="24"/>
        </w:rPr>
      </w:pPr>
      <w:r w:rsidRPr="006414C0">
        <w:rPr>
          <w:szCs w:val="24"/>
        </w:rPr>
        <w:t xml:space="preserve"> </w:t>
      </w:r>
    </w:p>
    <w:p w14:paraId="50F7E444" w14:textId="33CB6AB6" w:rsidR="005947C0" w:rsidRPr="006414C0" w:rsidRDefault="006414C0" w:rsidP="006414C0">
      <w:pPr>
        <w:pStyle w:val="Heading1"/>
        <w:spacing w:after="0" w:line="240" w:lineRule="auto"/>
        <w:ind w:left="-5"/>
        <w:rPr>
          <w:i/>
          <w:iCs/>
          <w:szCs w:val="24"/>
        </w:rPr>
      </w:pPr>
      <w:r w:rsidRPr="006414C0">
        <w:rPr>
          <w:i/>
          <w:iCs/>
          <w:szCs w:val="24"/>
        </w:rPr>
        <w:t>ABSTRAK</w:t>
      </w:r>
    </w:p>
    <w:p w14:paraId="0F5CD2E5" w14:textId="49B76A14" w:rsidR="00B17C84" w:rsidRPr="006414C0" w:rsidRDefault="008B201F" w:rsidP="006414C0">
      <w:pPr>
        <w:spacing w:after="0" w:line="240" w:lineRule="auto"/>
        <w:ind w:right="41" w:firstLine="0"/>
        <w:rPr>
          <w:i/>
          <w:iCs/>
          <w:szCs w:val="24"/>
        </w:rPr>
      </w:pPr>
      <w:r w:rsidRPr="006414C0">
        <w:rPr>
          <w:i/>
          <w:iCs/>
          <w:szCs w:val="24"/>
        </w:rPr>
        <w:t xml:space="preserve">Artikel ini membahas pemikiran hukum Islam Najm al-Dīn al-Ṭūfī sebagaimana termaktub dalam karyanya al-Ta’yin fi Sharh al-Arba’in, dengan fokus pada konsep maslahah mursalah sebagai dasar pembentukan hukum. Al-Ṭūfī secara tegas menyatakan bahwa kemaslahatan dapat dijadikan sumber hukum yang berdiri sendiri dan bahkan lebih diutamakan daripada nash dalam perkara sosial dan muamalah. Pandangan ini didasarkan pada syarah terhadap hadis “lā ḍarar wa lā ḍirār” yang menurut al-Ṭūfī merepresentasikan prinsip utama syariat dalam mewujudkan keadilan dan kemanusiaan. Melalui pendekatan ini, al-Ṭūfī memberikan kontribusi terhadap reformulasi hukum Islam yang lebih kontekstual, rasional, dan responsif terhadap kebutuhan zaman. Artikel ini juga menganalisis relevansi pemikiran al-Ṭūfī terhadap isu kesetaraan gender dalam hukum Islam, serta bagaimana konsep maslahat dapat dijadikan landasan ijtihad untuk menciptakan keadilan relasional antara laki-laki dan perempuan.  </w:t>
      </w:r>
      <w:r w:rsidR="006414C0" w:rsidRPr="006414C0">
        <w:rPr>
          <w:i/>
          <w:iCs/>
          <w:szCs w:val="24"/>
        </w:rPr>
        <w:t xml:space="preserve">Menggunakan </w:t>
      </w:r>
      <w:r w:rsidRPr="006414C0">
        <w:rPr>
          <w:i/>
          <w:iCs/>
          <w:szCs w:val="24"/>
        </w:rPr>
        <w:t xml:space="preserve">metode kualitatif-normatif dan pendekatan tekstual terhadap karya al-Ṭūfī, penelitian ini menunjukkan bahwa pemikiran maslahat al-Ṭūfī tetap berakar pada maqāṣid al-syarīʿah dan memiliki relevansi praksis dalam </w:t>
      </w:r>
      <w:r w:rsidR="00714B1B" w:rsidRPr="006414C0">
        <w:rPr>
          <w:i/>
          <w:iCs/>
          <w:szCs w:val="24"/>
        </w:rPr>
        <w:t>waca</w:t>
      </w:r>
      <w:r w:rsidR="00B17C84" w:rsidRPr="006414C0">
        <w:rPr>
          <w:i/>
          <w:iCs/>
          <w:szCs w:val="24"/>
        </w:rPr>
        <w:t>na hukum Islam kontemporer.</w:t>
      </w:r>
    </w:p>
    <w:p w14:paraId="771364B1" w14:textId="77777777" w:rsidR="00B17C84" w:rsidRPr="006414C0" w:rsidRDefault="00B17C84" w:rsidP="006414C0">
      <w:pPr>
        <w:pStyle w:val="NormalWeb"/>
        <w:rPr>
          <w:i/>
          <w:iCs/>
        </w:rPr>
      </w:pPr>
      <w:r w:rsidRPr="006414C0">
        <w:rPr>
          <w:b/>
          <w:bCs/>
          <w:i/>
          <w:iCs/>
        </w:rPr>
        <w:t xml:space="preserve">Kata kunci: </w:t>
      </w:r>
      <w:r w:rsidRPr="006414C0">
        <w:rPr>
          <w:i/>
          <w:iCs/>
        </w:rPr>
        <w:t>Maqāṣid al-Syarīʿah, Hukum Islam Kontemporer, Keadilan Gender</w:t>
      </w:r>
    </w:p>
    <w:p w14:paraId="5777524B" w14:textId="77777777" w:rsidR="006414C0" w:rsidRDefault="006414C0">
      <w:pPr>
        <w:spacing w:after="160" w:line="259" w:lineRule="auto"/>
        <w:ind w:right="0" w:firstLine="0"/>
        <w:jc w:val="left"/>
        <w:rPr>
          <w:b/>
          <w:bCs/>
          <w:szCs w:val="24"/>
        </w:rPr>
      </w:pPr>
      <w:r>
        <w:rPr>
          <w:b/>
          <w:bCs/>
          <w:szCs w:val="24"/>
        </w:rPr>
        <w:br w:type="page"/>
      </w:r>
    </w:p>
    <w:p w14:paraId="3E0AE1C6" w14:textId="2A316DDD" w:rsidR="00B17C84" w:rsidRPr="00D41A40" w:rsidRDefault="00D41A40" w:rsidP="00D41A40">
      <w:pPr>
        <w:spacing w:after="0" w:line="240" w:lineRule="auto"/>
        <w:ind w:right="41" w:firstLine="0"/>
        <w:rPr>
          <w:b/>
          <w:bCs/>
          <w:i/>
          <w:iCs/>
          <w:szCs w:val="24"/>
        </w:rPr>
      </w:pPr>
      <w:r w:rsidRPr="00D41A40">
        <w:rPr>
          <w:b/>
          <w:bCs/>
          <w:i/>
          <w:iCs/>
          <w:szCs w:val="24"/>
        </w:rPr>
        <w:lastRenderedPageBreak/>
        <w:t xml:space="preserve">ABSTRACT </w:t>
      </w:r>
    </w:p>
    <w:p w14:paraId="6398788D" w14:textId="3982159B" w:rsidR="005947C0" w:rsidRPr="00A20353" w:rsidRDefault="00714B1B" w:rsidP="00D41A40">
      <w:pPr>
        <w:spacing w:after="0" w:line="240" w:lineRule="auto"/>
        <w:ind w:right="41" w:firstLine="0"/>
        <w:rPr>
          <w:i/>
          <w:iCs/>
          <w:szCs w:val="24"/>
        </w:rPr>
      </w:pPr>
      <w:r w:rsidRPr="00D41A40">
        <w:rPr>
          <w:i/>
          <w:iCs/>
          <w:szCs w:val="24"/>
        </w:rPr>
        <w:t xml:space="preserve">This article discusses the Islamic legal thought of Najm al-Dīn al-Ṭūfī as articulated in </w:t>
      </w:r>
      <w:r w:rsidRPr="00A20353">
        <w:rPr>
          <w:i/>
          <w:iCs/>
          <w:szCs w:val="24"/>
        </w:rPr>
        <w:t xml:space="preserve">his work </w:t>
      </w:r>
      <w:r w:rsidRPr="00A20353">
        <w:rPr>
          <w:rStyle w:val="Emphasis"/>
          <w:i w:val="0"/>
          <w:iCs w:val="0"/>
          <w:szCs w:val="24"/>
        </w:rPr>
        <w:t>al-Ta’yin fī Sharḥ al-Arbaʿīn</w:t>
      </w:r>
      <w:r w:rsidRPr="00A20353">
        <w:rPr>
          <w:i/>
          <w:iCs/>
          <w:szCs w:val="24"/>
        </w:rPr>
        <w:t xml:space="preserve">, with a focus on the concept of </w:t>
      </w:r>
      <w:r w:rsidRPr="00A20353">
        <w:rPr>
          <w:rStyle w:val="Emphasis"/>
          <w:i w:val="0"/>
          <w:iCs w:val="0"/>
          <w:szCs w:val="24"/>
        </w:rPr>
        <w:t>maṣlaḥah mursalah</w:t>
      </w:r>
      <w:r w:rsidRPr="00A20353">
        <w:rPr>
          <w:i/>
          <w:iCs/>
          <w:szCs w:val="24"/>
        </w:rPr>
        <w:t xml:space="preserve"> as a foundational source of law. Al-Ṭūfī explicitly asserts that public interest (</w:t>
      </w:r>
      <w:r w:rsidRPr="00A20353">
        <w:rPr>
          <w:rStyle w:val="Emphasis"/>
          <w:i w:val="0"/>
          <w:iCs w:val="0"/>
          <w:szCs w:val="24"/>
        </w:rPr>
        <w:t>maṣlaḥah</w:t>
      </w:r>
      <w:r w:rsidRPr="00A20353">
        <w:rPr>
          <w:i/>
          <w:iCs/>
          <w:szCs w:val="24"/>
        </w:rPr>
        <w:t>) can serve as an independent legal source and should even take precedence over textual sources (</w:t>
      </w:r>
      <w:r w:rsidRPr="00A20353">
        <w:rPr>
          <w:rStyle w:val="Emphasis"/>
          <w:i w:val="0"/>
          <w:iCs w:val="0"/>
          <w:szCs w:val="24"/>
        </w:rPr>
        <w:t>naṣṣ</w:t>
      </w:r>
      <w:r w:rsidRPr="00A20353">
        <w:rPr>
          <w:i/>
          <w:iCs/>
          <w:szCs w:val="24"/>
        </w:rPr>
        <w:t>) in matters related to social affairs and transactions (</w:t>
      </w:r>
      <w:r w:rsidRPr="00A20353">
        <w:rPr>
          <w:rStyle w:val="Emphasis"/>
          <w:i w:val="0"/>
          <w:iCs w:val="0"/>
          <w:szCs w:val="24"/>
        </w:rPr>
        <w:t>muʿāmalāt</w:t>
      </w:r>
      <w:r w:rsidRPr="00A20353">
        <w:rPr>
          <w:i/>
          <w:iCs/>
          <w:szCs w:val="24"/>
        </w:rPr>
        <w:t>). This perspective is grounded in his commentary on the ḥadīth “lā ḍarar wa lā ḍirār,” which, according to al-Ṭūfī, encapsulates the core principle of Sharīʿah in promoting justice and humanity. Through this approach, al-Ṭūfī contributes to a reformulation of Islamic law that is more contextual, rational, and responsive to contemporary needs.</w:t>
      </w:r>
      <w:r w:rsidR="00D41A40" w:rsidRPr="00A20353">
        <w:rPr>
          <w:i/>
          <w:iCs/>
          <w:szCs w:val="24"/>
          <w:lang w:val="en-US"/>
        </w:rPr>
        <w:t xml:space="preserve"> </w:t>
      </w:r>
      <w:r w:rsidRPr="00A20353">
        <w:rPr>
          <w:i/>
          <w:iCs/>
          <w:szCs w:val="24"/>
        </w:rPr>
        <w:t xml:space="preserve">The article also analyzes the relevance of al-Ṭūfī’s thought to gender equality issues within Islamic law, and how the concept of </w:t>
      </w:r>
      <w:r w:rsidRPr="00A20353">
        <w:rPr>
          <w:rStyle w:val="Emphasis"/>
          <w:i w:val="0"/>
          <w:iCs w:val="0"/>
          <w:szCs w:val="24"/>
        </w:rPr>
        <w:t>maṣlaḥah</w:t>
      </w:r>
      <w:r w:rsidRPr="00A20353">
        <w:rPr>
          <w:i/>
          <w:iCs/>
          <w:szCs w:val="24"/>
        </w:rPr>
        <w:t xml:space="preserve"> can serve as a foundation for </w:t>
      </w:r>
      <w:r w:rsidRPr="00A20353">
        <w:rPr>
          <w:rStyle w:val="Emphasis"/>
          <w:i w:val="0"/>
          <w:iCs w:val="0"/>
          <w:szCs w:val="24"/>
        </w:rPr>
        <w:t>ijtihād</w:t>
      </w:r>
      <w:r w:rsidRPr="00A20353">
        <w:rPr>
          <w:i/>
          <w:iCs/>
          <w:szCs w:val="24"/>
        </w:rPr>
        <w:t xml:space="preserve"> in creating relational justice between men and women. Employing a qualitative-normative methodology and a textual approach to al-Ṭūfī’s work, this study demonstrates that his concept of </w:t>
      </w:r>
      <w:r w:rsidRPr="00A20353">
        <w:rPr>
          <w:rStyle w:val="Emphasis"/>
          <w:i w:val="0"/>
          <w:iCs w:val="0"/>
          <w:szCs w:val="24"/>
        </w:rPr>
        <w:t>maṣlaḥah</w:t>
      </w:r>
      <w:r w:rsidRPr="00A20353">
        <w:rPr>
          <w:i/>
          <w:iCs/>
          <w:szCs w:val="24"/>
        </w:rPr>
        <w:t xml:space="preserve"> remains rooted in </w:t>
      </w:r>
      <w:r w:rsidRPr="00A20353">
        <w:rPr>
          <w:rStyle w:val="Emphasis"/>
          <w:i w:val="0"/>
          <w:iCs w:val="0"/>
          <w:szCs w:val="24"/>
        </w:rPr>
        <w:t>maqāṣid al-sharīʿah</w:t>
      </w:r>
      <w:r w:rsidRPr="00A20353">
        <w:rPr>
          <w:i/>
          <w:iCs/>
          <w:szCs w:val="24"/>
        </w:rPr>
        <w:t xml:space="preserve"> and holds practical relevance in contemporary Islamic legal discourse.)</w:t>
      </w:r>
    </w:p>
    <w:p w14:paraId="6B55ABC9" w14:textId="77777777" w:rsidR="00B17C84" w:rsidRPr="00D41A40" w:rsidRDefault="00B17C84" w:rsidP="00D41A40">
      <w:pPr>
        <w:pStyle w:val="NormalWeb"/>
        <w:spacing w:after="0" w:afterAutospacing="0"/>
        <w:rPr>
          <w:i/>
          <w:iCs/>
        </w:rPr>
      </w:pPr>
      <w:r w:rsidRPr="00D41A40">
        <w:rPr>
          <w:b/>
          <w:bCs/>
          <w:i/>
          <w:iCs/>
        </w:rPr>
        <w:t xml:space="preserve">Keyword: </w:t>
      </w:r>
      <w:r w:rsidRPr="00D41A40">
        <w:rPr>
          <w:rStyle w:val="Emphasis"/>
          <w:i w:val="0"/>
          <w:iCs w:val="0"/>
        </w:rPr>
        <w:t>Maqāṣid al-Sharīʿah</w:t>
      </w:r>
      <w:r w:rsidRPr="00D41A40">
        <w:rPr>
          <w:i/>
          <w:iCs/>
        </w:rPr>
        <w:t>, Contemporary Islamic Law, Gender Justice</w:t>
      </w:r>
    </w:p>
    <w:p w14:paraId="50AC33CE" w14:textId="77777777" w:rsidR="00B17C84" w:rsidRPr="006414C0" w:rsidRDefault="00B17C84" w:rsidP="00B17C84">
      <w:pPr>
        <w:pStyle w:val="NormalWeb"/>
      </w:pPr>
    </w:p>
    <w:p w14:paraId="794C545A" w14:textId="146A7246" w:rsidR="005947C0" w:rsidRPr="006414C0" w:rsidRDefault="00D41A40">
      <w:pPr>
        <w:pStyle w:val="Heading1"/>
        <w:spacing w:after="275"/>
        <w:ind w:left="-5"/>
        <w:rPr>
          <w:szCs w:val="24"/>
        </w:rPr>
      </w:pPr>
      <w:r w:rsidRPr="006414C0">
        <w:rPr>
          <w:szCs w:val="24"/>
        </w:rPr>
        <w:t xml:space="preserve">PENDAHULUAN  </w:t>
      </w:r>
    </w:p>
    <w:p w14:paraId="004CFDD4" w14:textId="14E0CD57" w:rsidR="005947C0" w:rsidRPr="006414C0" w:rsidRDefault="008B201F" w:rsidP="00D80C2F">
      <w:pPr>
        <w:ind w:right="41" w:firstLine="696"/>
        <w:rPr>
          <w:szCs w:val="24"/>
        </w:rPr>
      </w:pPr>
      <w:r w:rsidRPr="006414C0">
        <w:rPr>
          <w:szCs w:val="24"/>
        </w:rPr>
        <w:t xml:space="preserve">Kajian terhadap literatur klasis Islam memiliki pran sentral dalam memahami dinamika hukum Islam yang berlaku sepanjang sejarah. Pemikiran para ulama terdahulu tidak hanya berperan sebagai warisan keilmuan, tetapi sebagai kerangka analisis yang apat dijadikan acun dalam merespon tantangan zaman modern. Salah satu tokoh penting dalam khazanah hukum Islam klasik adalam Najm al-Din Sulayman ibn ‘Abd al-Qawi al-Tufi, seorang ulama madzab Hambali yang dikenal dengan pemikiran kontekstualnya, terutama dalam bidang maslahah (kemaslahatan). Konep maslahah merupakan gagasan yang sangat mendasar dalam kajian yurisprudensi Islam yang memposisikan sebagai tujuan utama dalam penetapan hukum Islam. </w:t>
      </w:r>
      <w:r w:rsidRPr="006414C0">
        <w:rPr>
          <w:b/>
          <w:szCs w:val="24"/>
        </w:rPr>
        <w:t xml:space="preserve"> </w:t>
      </w:r>
    </w:p>
    <w:p w14:paraId="24B26EAE" w14:textId="77777777" w:rsidR="005947C0" w:rsidRPr="006414C0" w:rsidRDefault="008B201F" w:rsidP="00D80C2F">
      <w:pPr>
        <w:ind w:right="41" w:firstLine="696"/>
        <w:rPr>
          <w:szCs w:val="24"/>
        </w:rPr>
      </w:pPr>
      <w:r w:rsidRPr="006414C0">
        <w:rPr>
          <w:szCs w:val="24"/>
        </w:rPr>
        <w:t xml:space="preserve">Salah satu pendekatan yang menempatkan mslahah sebagai dasar untuk mempertimbangkan hukum secara mutlak, baik peroalan yang memiliki landasan teks (nash) maupun tidak. Dalam pandangan ini yang dibahas dalam karyanya yang berjudul </w:t>
      </w:r>
      <w:r w:rsidRPr="006414C0">
        <w:rPr>
          <w:i/>
          <w:szCs w:val="24"/>
        </w:rPr>
        <w:t>al-ta’yin fi syarh al-arbain</w:t>
      </w:r>
      <w:r w:rsidRPr="006414C0">
        <w:rPr>
          <w:szCs w:val="24"/>
        </w:rPr>
        <w:t>. Dalam pandangan al thufi kemaslahatan dapat dijadikan tolak ukur utama dalam menetapkan hukum selama tidak bertentangan dengan prinsip-prinsip pokok ajaran Islam.</w:t>
      </w:r>
      <w:r w:rsidRPr="006414C0">
        <w:rPr>
          <w:szCs w:val="24"/>
          <w:vertAlign w:val="superscript"/>
        </w:rPr>
        <w:footnoteReference w:id="1"/>
      </w:r>
      <w:r w:rsidRPr="006414C0">
        <w:rPr>
          <w:szCs w:val="24"/>
        </w:rPr>
        <w:t xml:space="preserve"> Pendekatan ini mencerminkan kecenderungan al-thufi untuk </w:t>
      </w:r>
      <w:r w:rsidRPr="006414C0">
        <w:rPr>
          <w:szCs w:val="24"/>
        </w:rPr>
        <w:lastRenderedPageBreak/>
        <w:t xml:space="preserve">mengakomodasi dinamika sosial dan realitas praktis, terutama dalam bidang hukum sosial, dimana kebutuhan masyarakat sering kali tidak dapat terakomodasi secara langsung. Oleh karena it al-thufi menawarkan suatu kontribusi penting dalam memperluas ijtihad mellaui prinsip maslahat sebagai prinsi utama dalam pembentukan hukum. Gaya syarah al-Thufi cenderung progresif karena tidak berhenti pada pemahaman tekstual, melainkan membuka ruang tafsir berdasarkan realitas sosial dan rasionalitas.  </w:t>
      </w:r>
    </w:p>
    <w:p w14:paraId="3DC4CA65" w14:textId="77777777" w:rsidR="00D80C2F" w:rsidRPr="008F2F96" w:rsidRDefault="008B201F" w:rsidP="00D80C2F">
      <w:pPr>
        <w:spacing w:after="0"/>
        <w:ind w:left="125" w:right="41"/>
        <w:rPr>
          <w:szCs w:val="24"/>
        </w:rPr>
      </w:pPr>
      <w:r w:rsidRPr="006414C0">
        <w:rPr>
          <w:szCs w:val="24"/>
        </w:rPr>
        <w:t xml:space="preserve">Pendekatan ini sangat menonjol, terutma saat membahas hadist ke eneam yang berbunyi </w:t>
      </w:r>
      <w:r w:rsidRPr="006414C0">
        <w:rPr>
          <w:i/>
          <w:szCs w:val="24"/>
        </w:rPr>
        <w:t xml:space="preserve">La Darar Wa La Dirar </w:t>
      </w:r>
      <w:r w:rsidRPr="006414C0">
        <w:rPr>
          <w:szCs w:val="24"/>
        </w:rPr>
        <w:t>(tidak boleh membahayakan dan tidak boleh saling membahayakan).</w:t>
      </w:r>
      <w:r w:rsidRPr="006414C0">
        <w:rPr>
          <w:szCs w:val="24"/>
          <w:vertAlign w:val="superscript"/>
        </w:rPr>
        <w:footnoteReference w:id="2"/>
      </w:r>
      <w:r w:rsidRPr="006414C0">
        <w:rPr>
          <w:szCs w:val="24"/>
        </w:rPr>
        <w:t xml:space="preserve"> Melalui hadis ini, al thufi menyusun kerangka teoritis yang menjadikan maslahah sebagai prinsip tertinggi dalam pembentukn hukum Islam, bahkan melebihiotoritas teks dalam perkar meamalah dan sosial masyarakat. Pandangan ini tentunya mengundang banyak kontroversi, sebab secara normatif, posisi al-qur’an dan sunnah di anggap sebagai sumber utma dan tidak boleh diabaikan dalam penetapan hukum. Namun dmikian, al-thufi tidak erta merta menolak teks wahyu. Ia justru menawarkan suatau penekatan hermeneutik yang mengedepankan maqasid syariah sebagai tujuan akhir dari keberadan syariat. dalam pandangan al-thufi, syariat Islam pada hakikatnya diturunkan untuk kemaslahatan umat manusia. Oleh karena itu, ketika terjadi kontradiksi antara teks dan maslahat yang nyata dalam urusan duniawi (muamalah), maka maslahat dapat</w:t>
      </w:r>
      <w:r w:rsidR="00D80C2F" w:rsidRPr="00D80C2F">
        <w:rPr>
          <w:szCs w:val="24"/>
        </w:rPr>
        <w:t xml:space="preserve"> </w:t>
      </w:r>
      <w:r w:rsidRPr="006414C0">
        <w:rPr>
          <w:szCs w:val="24"/>
        </w:rPr>
        <w:t>diutamakan selama tidak bertentangan dengan prinsip dasar agama dan nilai-nila etis syariat.</w:t>
      </w:r>
      <w:r w:rsidRPr="006414C0">
        <w:rPr>
          <w:szCs w:val="24"/>
          <w:vertAlign w:val="superscript"/>
        </w:rPr>
        <w:footnoteReference w:id="3"/>
      </w:r>
      <w:r w:rsidRPr="006414C0">
        <w:rPr>
          <w:szCs w:val="24"/>
        </w:rPr>
        <w:t xml:space="preserve"> </w:t>
      </w:r>
    </w:p>
    <w:p w14:paraId="591CDFC9" w14:textId="1ADA5899" w:rsidR="005947C0" w:rsidRPr="006414C0" w:rsidRDefault="008B201F" w:rsidP="00D80C2F">
      <w:pPr>
        <w:spacing w:after="0" w:line="360" w:lineRule="auto"/>
        <w:ind w:left="125" w:right="41"/>
        <w:rPr>
          <w:szCs w:val="24"/>
        </w:rPr>
      </w:pPr>
      <w:r w:rsidRPr="006414C0">
        <w:rPr>
          <w:szCs w:val="24"/>
        </w:rPr>
        <w:t>Dalam konteks historis, al-</w:t>
      </w:r>
      <w:r w:rsidRPr="006414C0">
        <w:rPr>
          <w:rFonts w:eastAsia="Calibri"/>
          <w:szCs w:val="24"/>
        </w:rPr>
        <w:t>Ṭ</w:t>
      </w:r>
      <w:r w:rsidRPr="006414C0">
        <w:rPr>
          <w:szCs w:val="24"/>
        </w:rPr>
        <w:t>ūfī hidup dalam periode yang penuh gejolak. Dunia Islam pada saat itu berada dalam tekanan politik dan sosial akibat serangan Mongol serta konflik internal antar dinasti Islam. Situasi tersebut menuntut lahirnya pembaruan pemikiran hukum yang lebih adaptif. Al-</w:t>
      </w:r>
      <w:r w:rsidRPr="006414C0">
        <w:rPr>
          <w:rFonts w:eastAsia="Calibri"/>
          <w:szCs w:val="24"/>
        </w:rPr>
        <w:t>Ṭ</w:t>
      </w:r>
      <w:r w:rsidRPr="006414C0">
        <w:rPr>
          <w:szCs w:val="24"/>
        </w:rPr>
        <w:t>ūfī menjawab tantangan ini dengan mengusulkan pembacaan ulang terhadap teks-teks hukum Islam melalui pendekatan maslahat. Gagasan ini kemudian membentuk kerangka teoritis yang mapan dalam kitab al-Ta’yin fi Sharh al-Arba’in dan menjadi rujukan penting dalam diskursus ushul fiqh.</w:t>
      </w:r>
      <w:r w:rsidRPr="006414C0">
        <w:rPr>
          <w:szCs w:val="24"/>
          <w:vertAlign w:val="superscript"/>
        </w:rPr>
        <w:footnoteReference w:id="4"/>
      </w:r>
      <w:r w:rsidRPr="006414C0">
        <w:rPr>
          <w:szCs w:val="24"/>
        </w:rPr>
        <w:t xml:space="preserve"> </w:t>
      </w:r>
    </w:p>
    <w:p w14:paraId="43C1F69D" w14:textId="77777777" w:rsidR="005947C0" w:rsidRPr="006414C0" w:rsidRDefault="008B201F" w:rsidP="00D80C2F">
      <w:pPr>
        <w:ind w:right="41" w:firstLine="696"/>
        <w:rPr>
          <w:szCs w:val="24"/>
        </w:rPr>
      </w:pPr>
      <w:r w:rsidRPr="006414C0">
        <w:rPr>
          <w:szCs w:val="24"/>
        </w:rPr>
        <w:lastRenderedPageBreak/>
        <w:t>Tidak hanya itu, konsep maslahat yang dibangun al-</w:t>
      </w:r>
      <w:r w:rsidRPr="006414C0">
        <w:rPr>
          <w:rFonts w:eastAsia="Calibri"/>
          <w:szCs w:val="24"/>
        </w:rPr>
        <w:t>Ṭ</w:t>
      </w:r>
      <w:r w:rsidRPr="006414C0">
        <w:rPr>
          <w:szCs w:val="24"/>
        </w:rPr>
        <w:t>ūfī juga menunjukkan keberaniannya dalam meredefinisi posisi rasionalitas dalam Islam. Ia berpendapat bahwa akal dapat dijadikan sebagai dalil mandiri dalam menetapkan hukum, terutama dalam perkara yang tidak memiliki ketentuan eksplisit dalam nash. Dalam hal ini, al-</w:t>
      </w:r>
      <w:r w:rsidRPr="006414C0">
        <w:rPr>
          <w:rFonts w:eastAsia="Calibri"/>
          <w:szCs w:val="24"/>
        </w:rPr>
        <w:t>Ṭ</w:t>
      </w:r>
      <w:r w:rsidRPr="006414C0">
        <w:rPr>
          <w:szCs w:val="24"/>
        </w:rPr>
        <w:t xml:space="preserve">ūfī membuka ruang yang luas bagi kreativitas ijtihad hukum dengan tetap memperhatikan nilai-nilai utama syariat. Hal ini tampak dalam prinsip-prinsip yang ia kembangkan, seperti maslahat hanya berlaku dalam wilayah muamalah, maslahat merupakan dalil yang berdiri sendiri, dan maslahat merupakan dalil yang paling kuat dibanding dalil-dalil lainnya dalam wilayah </w:t>
      </w:r>
    </w:p>
    <w:p w14:paraId="031EC1A7" w14:textId="77777777" w:rsidR="005947C0" w:rsidRPr="006414C0" w:rsidRDefault="008B201F">
      <w:pPr>
        <w:spacing w:after="170" w:line="259" w:lineRule="auto"/>
        <w:ind w:left="125" w:right="41" w:firstLine="0"/>
        <w:rPr>
          <w:szCs w:val="24"/>
        </w:rPr>
      </w:pPr>
      <w:r w:rsidRPr="006414C0">
        <w:rPr>
          <w:szCs w:val="24"/>
        </w:rPr>
        <w:t>sosial.</w:t>
      </w:r>
      <w:r w:rsidRPr="006414C0">
        <w:rPr>
          <w:szCs w:val="24"/>
          <w:vertAlign w:val="superscript"/>
        </w:rPr>
        <w:footnoteReference w:id="5"/>
      </w:r>
      <w:r w:rsidRPr="006414C0">
        <w:rPr>
          <w:szCs w:val="24"/>
        </w:rPr>
        <w:t xml:space="preserve"> </w:t>
      </w:r>
    </w:p>
    <w:p w14:paraId="4DF7C443" w14:textId="77777777" w:rsidR="005947C0" w:rsidRPr="006414C0" w:rsidRDefault="008B201F" w:rsidP="00D80C2F">
      <w:pPr>
        <w:ind w:right="41" w:firstLine="696"/>
        <w:rPr>
          <w:szCs w:val="24"/>
        </w:rPr>
      </w:pPr>
      <w:r w:rsidRPr="006414C0">
        <w:rPr>
          <w:szCs w:val="24"/>
        </w:rPr>
        <w:t>Pemikiran al-</w:t>
      </w:r>
      <w:r w:rsidRPr="006414C0">
        <w:rPr>
          <w:rFonts w:eastAsia="Calibri"/>
          <w:szCs w:val="24"/>
        </w:rPr>
        <w:t>Ṭ</w:t>
      </w:r>
      <w:r w:rsidRPr="006414C0">
        <w:rPr>
          <w:szCs w:val="24"/>
        </w:rPr>
        <w:t xml:space="preserve">ūfī ini patut dikaji lebih jauh karena memiliki kontribusi besar dalam pengembangan teori hukum Islam yang fleksibel dan aplikatif. Dalam menghadapi realitas global yang kompleks, pendekatan maslahat menjadi alternatif yang menjanjikan dalam mengaktualisasikan nilai-nilai keadilan dan kemanusiaan dalam Islam. Oleh sebab itu, penelitian terhadap kitab al-Ta’yin fi Sharh al-Arba’in tidak hanya penting secara historis-akademik, tetapi juga memiliki relevansi praksis dalam konteks kekinian. </w:t>
      </w:r>
    </w:p>
    <w:p w14:paraId="5CD6423E" w14:textId="77777777" w:rsidR="00D80C2F" w:rsidRDefault="00D80C2F">
      <w:pPr>
        <w:pStyle w:val="Heading1"/>
        <w:spacing w:after="180"/>
        <w:ind w:left="-5"/>
        <w:rPr>
          <w:szCs w:val="24"/>
          <w:lang w:val="en-US"/>
        </w:rPr>
      </w:pPr>
    </w:p>
    <w:p w14:paraId="378DA47B" w14:textId="0F51865A" w:rsidR="005947C0" w:rsidRPr="006414C0" w:rsidRDefault="00D80C2F" w:rsidP="00D80C2F">
      <w:pPr>
        <w:pStyle w:val="Heading1"/>
        <w:spacing w:after="180"/>
        <w:ind w:left="-5"/>
        <w:rPr>
          <w:szCs w:val="24"/>
        </w:rPr>
      </w:pPr>
      <w:r>
        <w:rPr>
          <w:szCs w:val="24"/>
          <w:lang w:val="en-US"/>
        </w:rPr>
        <w:t xml:space="preserve">HASIL DAN </w:t>
      </w:r>
      <w:r w:rsidRPr="006414C0">
        <w:rPr>
          <w:szCs w:val="24"/>
        </w:rPr>
        <w:t xml:space="preserve">PEMBAHASAN  </w:t>
      </w:r>
    </w:p>
    <w:p w14:paraId="4FEBDC86" w14:textId="77777777" w:rsidR="005947C0" w:rsidRPr="006414C0" w:rsidRDefault="008B201F">
      <w:pPr>
        <w:pStyle w:val="Heading1"/>
        <w:spacing w:after="6"/>
        <w:ind w:left="-5"/>
        <w:rPr>
          <w:szCs w:val="24"/>
        </w:rPr>
      </w:pPr>
      <w:r w:rsidRPr="006414C0">
        <w:rPr>
          <w:szCs w:val="24"/>
        </w:rPr>
        <w:t>Biografi Najm al-Dīn al-</w:t>
      </w:r>
      <w:r w:rsidRPr="006414C0">
        <w:rPr>
          <w:rFonts w:eastAsia="Calibri"/>
          <w:szCs w:val="24"/>
        </w:rPr>
        <w:t>Ṭ</w:t>
      </w:r>
      <w:r w:rsidRPr="006414C0">
        <w:rPr>
          <w:szCs w:val="24"/>
        </w:rPr>
        <w:t>ūfī</w:t>
      </w:r>
      <w:r w:rsidRPr="006414C0">
        <w:rPr>
          <w:b w:val="0"/>
          <w:szCs w:val="24"/>
        </w:rPr>
        <w:t xml:space="preserve"> </w:t>
      </w:r>
    </w:p>
    <w:p w14:paraId="2677D25A" w14:textId="77777777" w:rsidR="005947C0" w:rsidRPr="006414C0" w:rsidRDefault="008B201F" w:rsidP="00D80C2F">
      <w:pPr>
        <w:spacing w:before="240" w:after="0"/>
        <w:ind w:right="41" w:firstLine="696"/>
        <w:rPr>
          <w:szCs w:val="24"/>
        </w:rPr>
      </w:pPr>
      <w:r w:rsidRPr="006414C0">
        <w:rPr>
          <w:szCs w:val="24"/>
        </w:rPr>
        <w:t>Najm al-Dīn Abū al-Rabī‘ Sulaymān ibn ‘Abd al-Qawī ibn ‘Abd al-Karīm al-Ṭūfī al-Baghdādī al-Ḥanbalī adalah salah satu tokoh pemikir hukum Islam dari mazhab Hanbali yang cukup kontroversial namun berpengaruh dalam diskursus hukum Islam klasik maupun kontemporer.</w:t>
      </w:r>
      <w:r w:rsidRPr="006414C0">
        <w:rPr>
          <w:szCs w:val="24"/>
          <w:vertAlign w:val="superscript"/>
        </w:rPr>
        <w:footnoteReference w:id="6"/>
      </w:r>
      <w:r w:rsidRPr="006414C0">
        <w:rPr>
          <w:szCs w:val="24"/>
        </w:rPr>
        <w:t xml:space="preserve"> Al-Tufi lahir diperkirakan pada tahun 675 H (1277 M)8 dan meninggal pada tahun 716 H (1318 M) di Palestina. Dengan demikian, al-Tufi lahir setahun setelah serbuan pasukan Mongol ke kota Baghdad yang dipimpin oleh Khulagu Khan pada tahun 1258 M. Sejak peristiwa serangan Mongol ini, Baghdad hancur berantakan. Tidak seorangpun yang dapat membayangkan bencana yang lebih dahsyat </w:t>
      </w:r>
      <w:r w:rsidRPr="006414C0">
        <w:rPr>
          <w:szCs w:val="24"/>
        </w:rPr>
        <w:lastRenderedPageBreak/>
        <w:t>dari pada mala petaka ini. Akibatnya, integritas politik dunia Islam betul-betul tak berdaya dan kehilangan nyali.</w:t>
      </w:r>
      <w:r w:rsidRPr="006414C0">
        <w:rPr>
          <w:szCs w:val="24"/>
          <w:vertAlign w:val="superscript"/>
        </w:rPr>
        <w:footnoteReference w:id="7"/>
      </w:r>
      <w:r w:rsidRPr="006414C0">
        <w:rPr>
          <w:szCs w:val="24"/>
        </w:rPr>
        <w:t xml:space="preserve"> </w:t>
      </w:r>
    </w:p>
    <w:p w14:paraId="5DCDA015" w14:textId="77777777" w:rsidR="005947C0" w:rsidRPr="006414C0" w:rsidRDefault="008B201F" w:rsidP="00D80C2F">
      <w:pPr>
        <w:ind w:right="41" w:firstLine="696"/>
        <w:rPr>
          <w:szCs w:val="24"/>
        </w:rPr>
      </w:pPr>
      <w:r w:rsidRPr="006414C0">
        <w:rPr>
          <w:szCs w:val="24"/>
        </w:rPr>
        <w:t xml:space="preserve">Al-Ṭūfī tumbuh dalam lingkungan keilmuan yang sangat kuat. Ia belajar kepada sejumlah ulama besar pada masanya dan menekuni berbagai cabang ilmu, seperti fikih, ushul fikih, tafsir, hadits, logika, retorika, hingga filsafat. Di antara guru-gurunya adalah Fakhr al-Dīn ibn Taymiyyah, meskipun ia kemudian mengembangkan pandangannya sendiri yang unik dan berbeda, terutama dalam isu maslahat. Ia juga dikenal memiliki pemikiran rasional yang kritis, serta berani mempertanyakan otoritas pemikiran dominan pada masanya, termasuk pendapat jumhur ulama dalam beberapa aspek fiqh. </w:t>
      </w:r>
    </w:p>
    <w:p w14:paraId="34833A38" w14:textId="77777777" w:rsidR="005947C0" w:rsidRPr="006414C0" w:rsidRDefault="008B201F" w:rsidP="00D80C2F">
      <w:pPr>
        <w:ind w:right="41" w:firstLine="696"/>
        <w:rPr>
          <w:szCs w:val="24"/>
        </w:rPr>
      </w:pPr>
      <w:r w:rsidRPr="006414C0">
        <w:rPr>
          <w:szCs w:val="24"/>
        </w:rPr>
        <w:t>Dalam tradisi keilmuan Islam, al-Ṭūfī dikategorikan sebagai sosok polymath (ulama serba bisa). Ia tidak hanya produktif dalam bidang hukum Islam, melainkan juga menulis dalam bidang logika (</w:t>
      </w:r>
      <w:r w:rsidRPr="006414C0">
        <w:rPr>
          <w:i/>
          <w:szCs w:val="24"/>
        </w:rPr>
        <w:t>mantiq</w:t>
      </w:r>
      <w:r w:rsidRPr="006414C0">
        <w:rPr>
          <w:szCs w:val="24"/>
        </w:rPr>
        <w:t>), ilmu kalam, retorika (</w:t>
      </w:r>
      <w:r w:rsidRPr="006414C0">
        <w:rPr>
          <w:i/>
          <w:szCs w:val="24"/>
        </w:rPr>
        <w:t>balaghah</w:t>
      </w:r>
      <w:r w:rsidRPr="006414C0">
        <w:rPr>
          <w:szCs w:val="24"/>
        </w:rPr>
        <w:t xml:space="preserve">), serta sastra Arab. Karya-karyanya pun menunjukkan keluasan wawasan dan kedalaman analisis terhadap teks keislaman. Namun, yang paling menonjol dari pemikirannya adalah gagasannya tentang </w:t>
      </w:r>
      <w:r w:rsidRPr="006414C0">
        <w:rPr>
          <w:i/>
          <w:szCs w:val="24"/>
        </w:rPr>
        <w:t>maslahah mursalah</w:t>
      </w:r>
      <w:r w:rsidRPr="006414C0">
        <w:rPr>
          <w:szCs w:val="24"/>
        </w:rPr>
        <w:t xml:space="preserve"> yang ia formulasikan secara sistematis dalam beberapa karya penting, terutama dalam </w:t>
      </w:r>
      <w:r w:rsidRPr="006414C0">
        <w:rPr>
          <w:i/>
          <w:szCs w:val="24"/>
        </w:rPr>
        <w:t>Risālah fī al-Maṣlaḥah</w:t>
      </w:r>
      <w:r w:rsidRPr="006414C0">
        <w:rPr>
          <w:szCs w:val="24"/>
        </w:rPr>
        <w:t xml:space="preserve">, </w:t>
      </w:r>
      <w:r w:rsidRPr="006414C0">
        <w:rPr>
          <w:i/>
          <w:szCs w:val="24"/>
        </w:rPr>
        <w:t>al-Ta’yin fī Sharḥ al-Arba’in</w:t>
      </w:r>
      <w:r w:rsidRPr="006414C0">
        <w:rPr>
          <w:szCs w:val="24"/>
        </w:rPr>
        <w:t xml:space="preserve">, dan </w:t>
      </w:r>
      <w:r w:rsidRPr="006414C0">
        <w:rPr>
          <w:i/>
          <w:szCs w:val="24"/>
        </w:rPr>
        <w:t>al-Ṣalāḥ wa al-Fasād</w:t>
      </w:r>
      <w:r w:rsidRPr="006414C0">
        <w:rPr>
          <w:szCs w:val="24"/>
        </w:rPr>
        <w:t>.</w:t>
      </w:r>
      <w:r w:rsidRPr="006414C0">
        <w:rPr>
          <w:szCs w:val="24"/>
          <w:vertAlign w:val="superscript"/>
        </w:rPr>
        <w:footnoteReference w:id="8"/>
      </w:r>
      <w:r w:rsidRPr="006414C0">
        <w:rPr>
          <w:szCs w:val="24"/>
        </w:rPr>
        <w:t xml:space="preserve"> </w:t>
      </w:r>
    </w:p>
    <w:p w14:paraId="295D4219" w14:textId="37E06D31" w:rsidR="005947C0" w:rsidRPr="006414C0" w:rsidRDefault="008B201F">
      <w:pPr>
        <w:spacing w:after="0" w:line="259" w:lineRule="auto"/>
        <w:ind w:right="0" w:firstLine="0"/>
        <w:jc w:val="left"/>
        <w:rPr>
          <w:szCs w:val="24"/>
        </w:rPr>
      </w:pPr>
      <w:r w:rsidRPr="006414C0">
        <w:rPr>
          <w:szCs w:val="24"/>
        </w:rPr>
        <w:t xml:space="preserve"> </w:t>
      </w:r>
    </w:p>
    <w:p w14:paraId="79BD850E" w14:textId="77777777" w:rsidR="005947C0" w:rsidRPr="006414C0" w:rsidRDefault="008B201F" w:rsidP="00D80C2F">
      <w:pPr>
        <w:ind w:right="41" w:firstLine="696"/>
        <w:rPr>
          <w:szCs w:val="24"/>
        </w:rPr>
      </w:pPr>
      <w:r w:rsidRPr="006414C0">
        <w:rPr>
          <w:szCs w:val="24"/>
        </w:rPr>
        <w:t xml:space="preserve">Al-Ṭūfī dikenal sangat tajam dalam menyampaikan gagasan, sehingga ia beberapa kali terlibat dalam konflik intelektual maupun politik. Sikapnya yang kritis dan kadang dinilai terlalu berani membuatnya menghadapi kecaman dan bahkan pengasingan. Diriwayatkan bahwa ia pernah dipenjara karena dianggap menyimpang dari pandangan otoritatif mazhab resmi yang berlaku pada zamannya. Namun hal itu tidak menyurutkan semangatnya untuk terus menulis dan mengembangkan gagasan, yang sebagian besar justru ditulis dalam masa pengasingan. </w:t>
      </w:r>
    </w:p>
    <w:p w14:paraId="76A67154" w14:textId="77777777" w:rsidR="005947C0" w:rsidRPr="006414C0" w:rsidRDefault="008B201F" w:rsidP="00D80C2F">
      <w:pPr>
        <w:ind w:right="41" w:firstLine="696"/>
        <w:rPr>
          <w:szCs w:val="24"/>
        </w:rPr>
      </w:pPr>
      <w:r w:rsidRPr="006414C0">
        <w:rPr>
          <w:szCs w:val="24"/>
        </w:rPr>
        <w:t xml:space="preserve">Salah satu karya monumental yang menjadi sorotan adalah </w:t>
      </w:r>
      <w:r w:rsidRPr="006414C0">
        <w:rPr>
          <w:i/>
          <w:szCs w:val="24"/>
        </w:rPr>
        <w:t>al-Ta’yin fi Sharh al-Arba’in</w:t>
      </w:r>
      <w:r w:rsidRPr="006414C0">
        <w:rPr>
          <w:szCs w:val="24"/>
        </w:rPr>
        <w:t xml:space="preserve">, yaitu penjelasan terhadap empat puluh hadits Nabi yang dihimpun oleh Imam Nawawi. Dalam karya ini, al-Ṭūfī memberikan komentar yang sangat khas terhadap hadits “lā ḍarar wa lā ḍirār,” yang ia anggap sebagai fondasi prinsip maslahat dalam </w:t>
      </w:r>
      <w:r w:rsidRPr="006414C0">
        <w:rPr>
          <w:szCs w:val="24"/>
        </w:rPr>
        <w:lastRenderedPageBreak/>
        <w:t>hukum Islam. Dari sinilah kemudian lahir teori maslahat al-Ṭūfī yang menempatkan kemaslahatan sebagai prinsip yang dapat mengungguli teks eksplisit (nash), dalam perkara yang bersifat duniawi atau nonritual seperti muamalah, sosial-politik, dan kebijakan publik.</w:t>
      </w:r>
      <w:r w:rsidRPr="006414C0">
        <w:rPr>
          <w:szCs w:val="24"/>
          <w:vertAlign w:val="superscript"/>
        </w:rPr>
        <w:footnoteReference w:id="9"/>
      </w:r>
      <w:r w:rsidRPr="006414C0">
        <w:rPr>
          <w:szCs w:val="24"/>
        </w:rPr>
        <w:t xml:space="preserve"> </w:t>
      </w:r>
    </w:p>
    <w:p w14:paraId="6A569E78" w14:textId="77777777" w:rsidR="005947C0" w:rsidRPr="006414C0" w:rsidRDefault="008B201F" w:rsidP="00D80C2F">
      <w:pPr>
        <w:ind w:right="41" w:firstLine="696"/>
        <w:rPr>
          <w:szCs w:val="24"/>
        </w:rPr>
      </w:pPr>
      <w:r w:rsidRPr="006414C0">
        <w:rPr>
          <w:szCs w:val="24"/>
        </w:rPr>
        <w:t xml:space="preserve">Pandangan ini tentu saja menuai kontroversi besar, karena menyentuh wilayah sakral dalam tradisi hukum Islam. Mayoritas ulama ushul fiqh, seperti Imam al-Ghazali, al-Juwayni, maupun al-Syathibi, memang mengakui maslahat sebagai bagian dari maqāṣid al-syarīʿah, namun mereka menekankan bahwa maslahat harus tetap berada dalam koridor teks wahyu. Sebaliknya, al-Ṭūfī memberikan ruang yang lebih luas bagi akal dan kenyataan empiris dalam menentukan maslahat, bahkan dalam kondisi tertentu dapat mendahulukan maslahat daripada dalil nash yang bersifat umum atau tidak spesifik. </w:t>
      </w:r>
    </w:p>
    <w:p w14:paraId="31D6A9E4" w14:textId="34B63EE8" w:rsidR="005947C0" w:rsidRPr="006414C0" w:rsidRDefault="008B201F" w:rsidP="00D80C2F">
      <w:pPr>
        <w:ind w:right="41" w:firstLine="696"/>
        <w:rPr>
          <w:szCs w:val="24"/>
        </w:rPr>
      </w:pPr>
      <w:r w:rsidRPr="006414C0">
        <w:rPr>
          <w:szCs w:val="24"/>
        </w:rPr>
        <w:t xml:space="preserve">Meski demikian, al-Ṭūfī tidak secara mutlak menolak teks wahyu. Ia tetap memegang prinsip bahwa maslahat yang sahih adalah yang tidak bertentangan dengan maqāṣid utama syariat, yaitu menjaga agama (ḥifẓ al-dīn), jiwa (ḥifẓ alnafs), akal (ḥifẓ al-‘aql), keturunan (ḥifẓ al-nasl), dan harta (ḥifẓ al-māl). Oleh karena itu, pemikiran maslahat al-Ṭūfī justru dapat dipahami sebagai reinterpretasi terhadap teks dalam kerangka maqāṣid, bukan pembatalan nash. Ia membatasi penerapan maslahat hanya pada wilayah sosial atau muamalah, dan tidak berlaku pada aspek ibadah yang bersifat tauqifi (sudah ditentukan bentuk dan kadarnya oleh syariat)[7]. </w:t>
      </w:r>
    </w:p>
    <w:p w14:paraId="13406C4B" w14:textId="77777777" w:rsidR="005947C0" w:rsidRPr="006414C0" w:rsidRDefault="008B201F" w:rsidP="00D80C2F">
      <w:pPr>
        <w:ind w:right="41" w:firstLine="696"/>
        <w:rPr>
          <w:szCs w:val="24"/>
        </w:rPr>
      </w:pPr>
      <w:r w:rsidRPr="006414C0">
        <w:rPr>
          <w:szCs w:val="24"/>
        </w:rPr>
        <w:t>Pemikiran al-Ṭūfī akhirnya menjadi inspirasi penting dalam diskursus ijtihad maqasidi kontemporer, seperti yang dikembangkan oleh Jasser Auda, Muhammad al-Ghazali, Yusuf al-Qaradawi, dan lainnya. Gagasan bahwa hukum Islam harus kontekstual, dinamis, dan berorientasi pada keadilan sosial sangat sejalan dengan semangat al-Ṭūfī dalam menjadikan maslahat sebagai rujukan utama dalam pembentukan hukum. Oleh sebab itu, pemikiran al-Ṭūfī kini banyak dikaji kembali, baik dalam dunia akademik maupun forum pengambilan kebijakan syariah kontemporer.</w:t>
      </w:r>
      <w:r w:rsidRPr="006414C0">
        <w:rPr>
          <w:szCs w:val="24"/>
          <w:vertAlign w:val="superscript"/>
        </w:rPr>
        <w:footnoteReference w:id="10"/>
      </w:r>
      <w:r w:rsidRPr="006414C0">
        <w:rPr>
          <w:szCs w:val="24"/>
        </w:rPr>
        <w:t xml:space="preserve"> </w:t>
      </w:r>
    </w:p>
    <w:p w14:paraId="42A03D4F" w14:textId="1814D3D8" w:rsidR="005947C0" w:rsidRPr="006414C0" w:rsidRDefault="008B201F" w:rsidP="009A40D6">
      <w:pPr>
        <w:ind w:right="41" w:firstLine="696"/>
        <w:rPr>
          <w:szCs w:val="24"/>
        </w:rPr>
      </w:pPr>
      <w:r w:rsidRPr="006414C0">
        <w:rPr>
          <w:szCs w:val="24"/>
        </w:rPr>
        <w:t xml:space="preserve">Pendidikan al-Tufi dimulai dari kota kelahirannya dengan belajar pada beberapa orang guru. Ia menghafal kitab al-Mukhtas}ar alKharqi di bidang fiqh dan al-Luma‘ karya Ibn Jini dalam ilmu bahasa Arab. Ia juga bolak balik ke Sarsar untuk belajar fiqh kepada Zain alDin Ali bin Muhammad al-S{arsari, seorang ulama bermadzhab </w:t>
      </w:r>
      <w:r w:rsidRPr="006414C0">
        <w:rPr>
          <w:szCs w:val="24"/>
        </w:rPr>
        <w:lastRenderedPageBreak/>
        <w:t>Hanbali.Pada tahun 691 H ia pindah ke Baghdad. Di sana ia menghafal kitab al-Muh}arrar fi al-Fiqh (sebuah kitab rujukan dalam madzhab Hanbali) dan mendiskusikannya dengan Taqiy al-Din al-Zarziati. Disamping itu ia juga mendalami Us}ul al-fiqh pada Nas al-Faruqi, dan belajar Hadith pada Rasyid bin al-qasim, Isma‘il bin al-tabbal, dan Abd al-Rahman bin Sulaiman alHarani</w:t>
      </w:r>
      <w:r w:rsidRPr="009A40D6">
        <w:rPr>
          <w:szCs w:val="24"/>
        </w:rPr>
        <w:footnoteReference w:id="11"/>
      </w:r>
      <w:r w:rsidRPr="006414C0">
        <w:rPr>
          <w:szCs w:val="24"/>
        </w:rPr>
        <w:t xml:space="preserve">. </w:t>
      </w:r>
    </w:p>
    <w:p w14:paraId="3D4BD238" w14:textId="720FCE39" w:rsidR="005947C0" w:rsidRPr="006414C0" w:rsidRDefault="008B201F" w:rsidP="009A40D6">
      <w:pPr>
        <w:ind w:right="41" w:firstLine="696"/>
        <w:rPr>
          <w:szCs w:val="24"/>
        </w:rPr>
      </w:pPr>
      <w:r w:rsidRPr="006414C0">
        <w:rPr>
          <w:szCs w:val="24"/>
        </w:rPr>
        <w:t xml:space="preserve">Najm al-Dīn al-Ṭūfī wafat pada tahun 716 H/1316 M dalam usia sekitar 59 tahun. Meskipun ia hidup dalam masa yang penuh dengan tekanan politik dan sosial, warisan intelektualnya tetap hidup hingga kini. Kitab-kitabnya menjadi rujukan penting dalam studi hukum Islam dan menjadi bahan kajian kritis dalam pendekatan hukum berbasis maqāṣid. Pemikirannya menjadi bukti bahwa Islam memiliki dinamika internal yang memungkinkan reinterpretasi dan adaptasi terhadap perubahan sosial sepanjang tetap berakar pada prinsip-prinsip etis syariat. </w:t>
      </w:r>
    </w:p>
    <w:p w14:paraId="20CC820A" w14:textId="636748DB" w:rsidR="005947C0" w:rsidRPr="006414C0" w:rsidRDefault="008B201F">
      <w:pPr>
        <w:spacing w:after="0" w:line="259" w:lineRule="auto"/>
        <w:ind w:right="0" w:firstLine="0"/>
        <w:jc w:val="left"/>
        <w:rPr>
          <w:szCs w:val="24"/>
        </w:rPr>
      </w:pPr>
      <w:r w:rsidRPr="006414C0">
        <w:rPr>
          <w:szCs w:val="24"/>
        </w:rPr>
        <w:t xml:space="preserve"> </w:t>
      </w:r>
    </w:p>
    <w:p w14:paraId="60A58F59" w14:textId="77777777" w:rsidR="005947C0" w:rsidRPr="006414C0" w:rsidRDefault="008B201F">
      <w:pPr>
        <w:pStyle w:val="Heading1"/>
        <w:ind w:left="-5"/>
        <w:rPr>
          <w:szCs w:val="24"/>
        </w:rPr>
      </w:pPr>
      <w:r w:rsidRPr="006414C0">
        <w:rPr>
          <w:szCs w:val="24"/>
        </w:rPr>
        <w:t>Pemikiran Najm al-Din Abu al-Rabi’</w:t>
      </w:r>
      <w:r w:rsidRPr="006414C0">
        <w:rPr>
          <w:b w:val="0"/>
          <w:szCs w:val="24"/>
        </w:rPr>
        <w:t xml:space="preserve"> </w:t>
      </w:r>
    </w:p>
    <w:p w14:paraId="4A7941BE" w14:textId="77777777" w:rsidR="005947C0" w:rsidRPr="006414C0" w:rsidRDefault="008B201F" w:rsidP="009A40D6">
      <w:pPr>
        <w:ind w:right="41" w:firstLine="696"/>
        <w:rPr>
          <w:szCs w:val="24"/>
        </w:rPr>
      </w:pPr>
      <w:r w:rsidRPr="006414C0">
        <w:rPr>
          <w:szCs w:val="24"/>
        </w:rPr>
        <w:t xml:space="preserve">Dalam konsep maslahat at-tufi memiliki pandangan yang berbeda dengan ulama lainnya, at-tufi memiliki beberapa karya tulis dalam berbagai topik, terutama dalam bidang yurisprudensi, logika, dan sastra. Akan tetapi dari sekian karya dalam bidang hukum Islam </w:t>
      </w:r>
      <w:r w:rsidRPr="006414C0">
        <w:rPr>
          <w:i/>
          <w:szCs w:val="24"/>
        </w:rPr>
        <w:t xml:space="preserve">Kitab al-Ta’yin fi Sharh al-Arba’in </w:t>
      </w:r>
      <w:r w:rsidRPr="006414C0">
        <w:rPr>
          <w:szCs w:val="24"/>
        </w:rPr>
        <w:t xml:space="preserve">yang merupakan kitab </w:t>
      </w:r>
      <w:r w:rsidRPr="006414C0">
        <w:rPr>
          <w:i/>
          <w:szCs w:val="24"/>
        </w:rPr>
        <w:t xml:space="preserve">sharh </w:t>
      </w:r>
      <w:r w:rsidRPr="006414C0">
        <w:rPr>
          <w:szCs w:val="24"/>
        </w:rPr>
        <w:t>menjadi perbincangan di dunia pemikiran Islam.</w:t>
      </w:r>
      <w:r w:rsidRPr="006414C0">
        <w:rPr>
          <w:szCs w:val="24"/>
          <w:vertAlign w:val="superscript"/>
        </w:rPr>
        <w:footnoteReference w:id="12"/>
      </w:r>
      <w:r w:rsidRPr="006414C0">
        <w:rPr>
          <w:szCs w:val="24"/>
        </w:rPr>
        <w:t xml:space="preserve"> </w:t>
      </w:r>
    </w:p>
    <w:p w14:paraId="28DBEBE5" w14:textId="77777777" w:rsidR="005947C0" w:rsidRPr="006414C0" w:rsidRDefault="008B201F" w:rsidP="009A40D6">
      <w:pPr>
        <w:ind w:right="41" w:firstLine="696"/>
        <w:rPr>
          <w:szCs w:val="24"/>
        </w:rPr>
      </w:pPr>
      <w:r w:rsidRPr="006414C0">
        <w:rPr>
          <w:szCs w:val="24"/>
        </w:rPr>
        <w:t>Pandangan at-tufi mengenai maslahat pada dasarnya, berasal dari pembahasan (syarah) hadis Nabi yaitu “</w:t>
      </w:r>
      <w:r w:rsidRPr="006414C0">
        <w:rPr>
          <w:szCs w:val="24"/>
          <w:rtl/>
        </w:rPr>
        <w:t>لاضررولاضرا ر</w:t>
      </w:r>
      <w:r w:rsidRPr="006414C0">
        <w:rPr>
          <w:szCs w:val="24"/>
        </w:rPr>
        <w:t>”</w:t>
      </w:r>
      <w:r w:rsidRPr="006414C0">
        <w:rPr>
          <w:szCs w:val="24"/>
          <w:vertAlign w:val="superscript"/>
        </w:rPr>
        <w:footnoteReference w:id="13"/>
      </w:r>
      <w:r w:rsidRPr="006414C0">
        <w:rPr>
          <w:szCs w:val="24"/>
        </w:rPr>
        <w:t xml:space="preserve"> yang artinya: </w:t>
      </w:r>
      <w:r w:rsidRPr="006414C0">
        <w:rPr>
          <w:i/>
          <w:szCs w:val="24"/>
        </w:rPr>
        <w:t xml:space="preserve">“tidak boleh ada bahaya pada diri </w:t>
      </w:r>
      <w:r w:rsidRPr="009A40D6">
        <w:rPr>
          <w:szCs w:val="24"/>
        </w:rPr>
        <w:t>sendiri</w:t>
      </w:r>
      <w:r w:rsidRPr="006414C0">
        <w:rPr>
          <w:i/>
          <w:szCs w:val="24"/>
        </w:rPr>
        <w:t xml:space="preserve"> dan tidak boleh pula ada bahaya  pada orang lain”. </w:t>
      </w:r>
      <w:r w:rsidRPr="006414C0">
        <w:rPr>
          <w:szCs w:val="24"/>
        </w:rPr>
        <w:t xml:space="preserve">Hadis inilah yang menjadi landasan utama bagi al-Ṭūfī dalam merumuskan empat prinsip dasar kemaslahatan. Pandangannya ini kemudian menyimpang dari pendapat jumhur ulama yang membagi maslahat ke dalam tiga kategori. Menurut al-Ṭūfī, pembagian semacam itu tidak diperlukan, karena hakikat dari syariat Islam itu sendiri adalah untuk mewujudkan kemaslahatan. Oleh karena itu, segala bentuk maslahat baik yang didukung oleh teks wahyu maupun tidak tetap harus diupayakan tanpa perlu klasifikasi khusus. Keempat prinsip yang dimaksud adalah akal bebas, maslahat merupakan dalil mandiri </w:t>
      </w:r>
      <w:r w:rsidRPr="006414C0">
        <w:rPr>
          <w:szCs w:val="24"/>
        </w:rPr>
        <w:lastRenderedPageBreak/>
        <w:t xml:space="preserve">dalam menetapkan hukum, maslahat hanya berlaku dalam masalah muamalah dan adat atau kebiasaan, maslahat merupakan dalil syara’ paling kuat. </w:t>
      </w:r>
    </w:p>
    <w:p w14:paraId="17F569D0" w14:textId="77777777" w:rsidR="005947C0" w:rsidRPr="006414C0" w:rsidRDefault="008B201F" w:rsidP="009A40D6">
      <w:pPr>
        <w:ind w:right="41" w:firstLine="696"/>
        <w:rPr>
          <w:szCs w:val="24"/>
        </w:rPr>
      </w:pPr>
      <w:r w:rsidRPr="006414C0">
        <w:rPr>
          <w:szCs w:val="24"/>
        </w:rPr>
        <w:t xml:space="preserve">Adapun alasan yang dikemukakan at-tufi dalam mendukung pendapatnya tersebut didasarkan pada firman Allah swt dalam Q.S al-Baqarah ayat 178 yang berbunyi: </w:t>
      </w:r>
    </w:p>
    <w:p w14:paraId="3CE91E30" w14:textId="77777777" w:rsidR="005947C0" w:rsidRPr="006414C0" w:rsidRDefault="008B201F">
      <w:pPr>
        <w:bidi/>
        <w:spacing w:after="90" w:line="259" w:lineRule="auto"/>
        <w:ind w:left="140" w:right="0" w:firstLine="0"/>
        <w:jc w:val="left"/>
        <w:rPr>
          <w:szCs w:val="24"/>
        </w:rPr>
      </w:pPr>
      <w:r w:rsidRPr="006414C0">
        <w:rPr>
          <w:szCs w:val="24"/>
          <w:rtl/>
        </w:rPr>
        <w:t xml:space="preserve">يٰٰٓايَهَُّا الَّذِيْنَ اٰمَنوُْا كُتِبَ عَلَيْكُمُ الْقِصَاصُ فِى الْقَتْلٰىۗ  </w:t>
      </w:r>
    </w:p>
    <w:p w14:paraId="5637F82B" w14:textId="77777777" w:rsidR="005947C0" w:rsidRPr="006414C0" w:rsidRDefault="008B201F" w:rsidP="009A40D6">
      <w:pPr>
        <w:spacing w:line="259" w:lineRule="auto"/>
        <w:ind w:left="567" w:right="41" w:firstLine="0"/>
        <w:rPr>
          <w:szCs w:val="24"/>
        </w:rPr>
      </w:pPr>
      <w:r w:rsidRPr="006414C0">
        <w:rPr>
          <w:szCs w:val="24"/>
        </w:rPr>
        <w:t xml:space="preserve">Artinya: </w:t>
      </w:r>
    </w:p>
    <w:p w14:paraId="3C387691" w14:textId="77777777" w:rsidR="005947C0" w:rsidRPr="006414C0" w:rsidRDefault="008B201F" w:rsidP="009A40D6">
      <w:pPr>
        <w:spacing w:after="167" w:line="248" w:lineRule="auto"/>
        <w:ind w:left="567" w:right="0" w:firstLine="0"/>
        <w:jc w:val="left"/>
        <w:rPr>
          <w:szCs w:val="24"/>
        </w:rPr>
      </w:pPr>
      <w:r w:rsidRPr="006414C0">
        <w:rPr>
          <w:i/>
          <w:szCs w:val="24"/>
        </w:rPr>
        <w:t>Wahai orang-orang yang beriman, diwajibkan kepadamu (melaksanakan) kisas berkenaan dengan orang-orang yang dibunuh.</w:t>
      </w:r>
      <w:r w:rsidRPr="006414C0">
        <w:rPr>
          <w:i/>
          <w:szCs w:val="24"/>
          <w:vertAlign w:val="superscript"/>
        </w:rPr>
        <w:footnoteReference w:id="14"/>
      </w:r>
      <w:r w:rsidRPr="006414C0">
        <w:rPr>
          <w:szCs w:val="24"/>
        </w:rPr>
        <w:t xml:space="preserve"> </w:t>
      </w:r>
    </w:p>
    <w:p w14:paraId="5C41409C" w14:textId="095EDA7F" w:rsidR="005947C0" w:rsidRPr="006414C0" w:rsidRDefault="008B201F" w:rsidP="009A40D6">
      <w:pPr>
        <w:ind w:right="41" w:firstLine="696"/>
        <w:rPr>
          <w:szCs w:val="24"/>
        </w:rPr>
      </w:pPr>
      <w:r w:rsidRPr="006414C0">
        <w:rPr>
          <w:szCs w:val="24"/>
        </w:rPr>
        <w:t xml:space="preserve">Ayat ini mewajibkan </w:t>
      </w:r>
      <w:r w:rsidRPr="006414C0">
        <w:rPr>
          <w:i/>
          <w:szCs w:val="24"/>
        </w:rPr>
        <w:t xml:space="preserve">qishas </w:t>
      </w:r>
      <w:r w:rsidRPr="006414C0">
        <w:rPr>
          <w:szCs w:val="24"/>
        </w:rPr>
        <w:t xml:space="preserve">atau balasan setimpal dalam kasus pembunuhan. Namun at-tufi memiliki pendapat bahwa qishas bisa ditangguhkan atau diganti bila maslahat menuntut hal lain, seperti permintaan maaf atau kompensasi, bahkan jika teks menyebutkan kewajiban </w:t>
      </w:r>
      <w:r w:rsidRPr="006414C0">
        <w:rPr>
          <w:i/>
          <w:szCs w:val="24"/>
        </w:rPr>
        <w:t xml:space="preserve">qishas. </w:t>
      </w:r>
      <w:r w:rsidRPr="006414C0">
        <w:rPr>
          <w:szCs w:val="24"/>
        </w:rPr>
        <w:t xml:space="preserve">at-tufi tidak secara eksplisit “menentang” ayat al-Qur’an, namun yang dia lakukan adalah memberikan penafsiran yang kontroversial terhadap hubungan antara dalil syar’i termasuk ayat al-Qur’an dan maslahah. Dalam konteks ini at-tufi mendahulukan maslahat atas sebagian dalil teks, bila menurutnya lebih kuat dan nyata.  </w:t>
      </w:r>
    </w:p>
    <w:p w14:paraId="4E588321" w14:textId="77777777" w:rsidR="005947C0" w:rsidRPr="006414C0" w:rsidRDefault="008B201F" w:rsidP="009A40D6">
      <w:pPr>
        <w:ind w:right="41" w:firstLine="696"/>
        <w:rPr>
          <w:szCs w:val="24"/>
        </w:rPr>
      </w:pPr>
      <w:r w:rsidRPr="006414C0">
        <w:rPr>
          <w:szCs w:val="24"/>
        </w:rPr>
        <w:t>Meskipun pandangan al-Ṭūfī berbeda dengan mayoritas ulama, jika dikaji lebih mendalam melalui karyanya Risālah fī Riʿāyah al-Maṣlaḥah, maka terlihat bahwa pendahuluan maslahat atas nash dan ijmak tidaklah dilakukan secara mutlak. Al-Ṭūfī sebenarnya menetapkan sejumlah kriteria dan batasan tertentu dalam menerapkan prinsip tersebut.</w:t>
      </w:r>
      <w:r w:rsidRPr="006414C0">
        <w:rPr>
          <w:i/>
          <w:szCs w:val="24"/>
        </w:rPr>
        <w:t xml:space="preserve"> Pertama</w:t>
      </w:r>
      <w:r w:rsidRPr="006414C0">
        <w:rPr>
          <w:szCs w:val="24"/>
        </w:rPr>
        <w:t xml:space="preserve">, pengutamaan maslahat atas nash dan ijmak dilakukan oleh al-Ṭūfī melalui mekanisme takhsis (pengkhususan makna) dan bayan (penjelasan), bukan dengan cara meniadakan atau membatalkan keberlakuan nash secara keseluruhan. </w:t>
      </w:r>
      <w:r w:rsidRPr="006414C0">
        <w:rPr>
          <w:i/>
          <w:szCs w:val="24"/>
        </w:rPr>
        <w:t>Kedua,</w:t>
      </w:r>
      <w:r w:rsidRPr="006414C0">
        <w:rPr>
          <w:szCs w:val="24"/>
        </w:rPr>
        <w:t xml:space="preserve"> al-Ṭūfī mendahulukan maslahat atas nash dan ijmak melalui pendekatan takhsis (pembatasan cakupan) dan bayan (penjabaran makna), bukan dengan cara menolak, menghapus, atau melakukan nasakh (pembatalan hukum) terhadap nash yang ada. </w:t>
      </w:r>
      <w:r w:rsidRPr="006414C0">
        <w:rPr>
          <w:i/>
          <w:szCs w:val="24"/>
        </w:rPr>
        <w:t>Ketiga</w:t>
      </w:r>
      <w:r w:rsidRPr="006414C0">
        <w:rPr>
          <w:szCs w:val="24"/>
        </w:rPr>
        <w:t xml:space="preserve">, dalam mendahulukan maslahat, al-Ṭūfī memberikan pengecualian terhadap urusan-urusan ibadah serta hal-hal yang bersifat muqaddarah (telah ditetapkan kadarnya secara pasti oleh syariat), karena keduanya termasuk dalam wilayah yang tidak dapat diintervensi oleh pertimbangan rasional semata. </w:t>
      </w:r>
      <w:r w:rsidRPr="006414C0">
        <w:rPr>
          <w:i/>
          <w:szCs w:val="24"/>
        </w:rPr>
        <w:t>Keempat</w:t>
      </w:r>
      <w:r w:rsidRPr="006414C0">
        <w:rPr>
          <w:szCs w:val="24"/>
        </w:rPr>
        <w:t xml:space="preserve">, keutamaan maslahat yang dikedepankan oleh al-Ṭūfī bukanlah maslahat yang bersumber semata-mata dari akal atau </w:t>
      </w:r>
      <w:r w:rsidRPr="006414C0">
        <w:rPr>
          <w:szCs w:val="24"/>
        </w:rPr>
        <w:lastRenderedPageBreak/>
        <w:t>kehendak nafsu tanpa mempertimbangkan tujuan-tujuan syariat. Sebaliknya, jika ditelaah secara kritis dan mendalam, tampak jelas bahwa al-Ṭūfī tetap menjadikan nilai-nilai nash syar’i sebagai landasan. Bahkan, dalam risalahnya ia menegaskan bahwa maslahat yang dimaksud adalah maslahat yang berakar pada hadis Nabi saw.</w:t>
      </w:r>
      <w:r w:rsidRPr="006414C0">
        <w:rPr>
          <w:szCs w:val="24"/>
          <w:vertAlign w:val="superscript"/>
        </w:rPr>
        <w:footnoteReference w:id="15"/>
      </w:r>
      <w:r w:rsidRPr="006414C0">
        <w:rPr>
          <w:szCs w:val="24"/>
        </w:rPr>
        <w:t xml:space="preserve"> </w:t>
      </w:r>
    </w:p>
    <w:p w14:paraId="16DEFF7B" w14:textId="1B48963B" w:rsidR="005947C0" w:rsidRPr="006414C0" w:rsidRDefault="008B201F" w:rsidP="009A40D6">
      <w:pPr>
        <w:ind w:right="41" w:firstLine="696"/>
        <w:rPr>
          <w:szCs w:val="24"/>
        </w:rPr>
      </w:pPr>
      <w:r w:rsidRPr="006414C0">
        <w:rPr>
          <w:szCs w:val="24"/>
        </w:rPr>
        <w:t xml:space="preserve">Penting untuk dipahami bahwa pemahaman Najmuddin al-Ṭūfī terhadap konsep maṣlaḥah mursalah berakar pada kerangka maqāṣid al-syarīʿah, yakni tujuan-tujuan fundamental dari pembentukan hukum Islam. Dalam upayanya menjaga hubungan antara manusia dengan Tuhannya, serta dengan sesama manusia, hukum Islam mengandung nilai-nilai dan arah tujuan tertentu yang disebut maqāṣid al-syarīʿah. Tujuan-tujuan tersebut mencerminkan cita-cita hukum Islam dalam membangun tatanan kehidupan yang adil dan sejahtera. </w:t>
      </w:r>
    </w:p>
    <w:p w14:paraId="03FBC816" w14:textId="77777777" w:rsidR="005947C0" w:rsidRPr="006414C0" w:rsidRDefault="008B201F">
      <w:pPr>
        <w:numPr>
          <w:ilvl w:val="0"/>
          <w:numId w:val="1"/>
        </w:numPr>
        <w:ind w:right="41" w:hanging="280"/>
        <w:rPr>
          <w:szCs w:val="24"/>
        </w:rPr>
      </w:pPr>
      <w:r w:rsidRPr="006414C0">
        <w:rPr>
          <w:szCs w:val="24"/>
        </w:rPr>
        <w:t xml:space="preserve">Hifzh al-din (memelihara agama), yaitu syari’at yang diwajibkan untuk memelihara agama adalah kewajiban jihad (berperang membela agama) untuk mempertahankan akidah Islmiyah. </w:t>
      </w:r>
    </w:p>
    <w:p w14:paraId="6D37A285" w14:textId="77777777" w:rsidR="005947C0" w:rsidRPr="006414C0" w:rsidRDefault="008B201F">
      <w:pPr>
        <w:numPr>
          <w:ilvl w:val="0"/>
          <w:numId w:val="1"/>
        </w:numPr>
        <w:ind w:right="41" w:hanging="280"/>
        <w:rPr>
          <w:szCs w:val="24"/>
        </w:rPr>
      </w:pPr>
      <w:r w:rsidRPr="006414C0">
        <w:rPr>
          <w:szCs w:val="24"/>
        </w:rPr>
        <w:t xml:space="preserve">Hifzh al-nafs (memelihara jiwa), yaitu sari’at yang diwajibkan untuk memelihara jiwa adalah kewajiban untuk berusaha memperoleh makanan, minuman, dan pakaian untuk mempertahankan hidupnya. </w:t>
      </w:r>
    </w:p>
    <w:p w14:paraId="0A62C0CE" w14:textId="77777777" w:rsidR="005947C0" w:rsidRPr="006414C0" w:rsidRDefault="008B201F">
      <w:pPr>
        <w:numPr>
          <w:ilvl w:val="0"/>
          <w:numId w:val="1"/>
        </w:numPr>
        <w:ind w:right="41" w:hanging="280"/>
        <w:rPr>
          <w:szCs w:val="24"/>
        </w:rPr>
      </w:pPr>
      <w:r w:rsidRPr="006414C0">
        <w:rPr>
          <w:szCs w:val="24"/>
        </w:rPr>
        <w:t xml:space="preserve">Hifzh al-aql (memelihara akal), yaitu syari’at yang diwajibkan untuk memelihara akal adalah kewajiban untuk meninggalkan minum khamar segala sesuatu yang memabukkan </w:t>
      </w:r>
    </w:p>
    <w:p w14:paraId="098B5550" w14:textId="77777777" w:rsidR="005947C0" w:rsidRPr="006414C0" w:rsidRDefault="008B201F">
      <w:pPr>
        <w:numPr>
          <w:ilvl w:val="0"/>
          <w:numId w:val="1"/>
        </w:numPr>
        <w:ind w:right="41" w:hanging="280"/>
        <w:rPr>
          <w:szCs w:val="24"/>
        </w:rPr>
      </w:pPr>
      <w:r w:rsidRPr="006414C0">
        <w:rPr>
          <w:szCs w:val="24"/>
        </w:rPr>
        <w:t xml:space="preserve">Hifzh al-nasl (memelihara keturunan atau kehormatan), yaitu syari’at yang diwajibkan untuk memelihara keturunan adalah kewajiban untuk menghidarkan diri dari berbuat zina </w:t>
      </w:r>
    </w:p>
    <w:p w14:paraId="41549390" w14:textId="77777777" w:rsidR="005947C0" w:rsidRPr="006414C0" w:rsidRDefault="008B201F">
      <w:pPr>
        <w:numPr>
          <w:ilvl w:val="0"/>
          <w:numId w:val="1"/>
        </w:numPr>
        <w:spacing w:after="196"/>
        <w:ind w:right="41" w:hanging="280"/>
        <w:rPr>
          <w:szCs w:val="24"/>
        </w:rPr>
      </w:pPr>
      <w:r w:rsidRPr="006414C0">
        <w:rPr>
          <w:szCs w:val="24"/>
        </w:rPr>
        <w:t>Hifzh al-mal (memelihara harta), yaitu syari’at yang diwajibkan untuk memelihara dan melindungi harta bendanya agar tidak dicuri orang lain atau hal lain yang merugikan.</w:t>
      </w:r>
      <w:r w:rsidRPr="006414C0">
        <w:rPr>
          <w:szCs w:val="24"/>
          <w:vertAlign w:val="superscript"/>
        </w:rPr>
        <w:footnoteReference w:id="16"/>
      </w:r>
      <w:r w:rsidRPr="006414C0">
        <w:rPr>
          <w:szCs w:val="24"/>
        </w:rPr>
        <w:t xml:space="preserve"> </w:t>
      </w:r>
    </w:p>
    <w:p w14:paraId="64ADC950" w14:textId="77777777" w:rsidR="00A9309D" w:rsidRPr="006414C0" w:rsidRDefault="008B201F" w:rsidP="00A9309D">
      <w:pPr>
        <w:pStyle w:val="Heading1"/>
        <w:spacing w:after="0" w:line="358" w:lineRule="auto"/>
        <w:ind w:left="-5"/>
        <w:rPr>
          <w:szCs w:val="24"/>
        </w:rPr>
      </w:pPr>
      <w:r w:rsidRPr="006414C0">
        <w:rPr>
          <w:szCs w:val="24"/>
        </w:rPr>
        <w:lastRenderedPageBreak/>
        <w:t xml:space="preserve">Analisis Maslahah Mursalah at-Thufi Dalam Permasalahan Kesetaraan Gender </w:t>
      </w:r>
    </w:p>
    <w:p w14:paraId="7A10DF45" w14:textId="77777777" w:rsidR="00A9309D" w:rsidRPr="006414C0" w:rsidRDefault="00A9309D" w:rsidP="009A40D6">
      <w:pPr>
        <w:ind w:right="41" w:firstLine="696"/>
        <w:rPr>
          <w:szCs w:val="24"/>
        </w:rPr>
      </w:pPr>
      <w:r w:rsidRPr="006414C0">
        <w:rPr>
          <w:szCs w:val="24"/>
        </w:rPr>
        <w:t xml:space="preserve">Isu kesetaraan gender merupakan salah satu perdebatan kontemporer yang paling kompleks dalam wacana keislaman modern. Di satu sisi, ajaran Islam secara normatif memuat prinsip-prinsip keadilan, kemuliaan manusia, serta penghormatan terhadap perempuan dan laki-laki sebagai mitra dalam kehidupan. Di sisi lain, sejarah penerapan hukum Islam kerap menampilkan ketimpangan peran dan posisi antara laki-laki dan perempuan, baik dalam konteks keluarga, sosial, maupun politik. Ketimpangan ini sering seringkali dilanggengkan oleh tafsir keagamaan yang bersifat patriarkis dan tidak sensitif terhadap perubahan zaman serta kondisi sosial masyarakat. </w:t>
      </w:r>
    </w:p>
    <w:p w14:paraId="745258C4" w14:textId="77777777" w:rsidR="00A9309D" w:rsidRPr="006414C0" w:rsidRDefault="00A9309D" w:rsidP="009A40D6">
      <w:pPr>
        <w:ind w:right="41" w:firstLine="696"/>
        <w:rPr>
          <w:szCs w:val="24"/>
        </w:rPr>
      </w:pPr>
      <w:r w:rsidRPr="006414C0">
        <w:rPr>
          <w:szCs w:val="24"/>
        </w:rPr>
        <w:t>Perkembangan pemikiran gender dalam Islam mendorong para pemikir Muslim untuk melakukan pembacaan ulang terhadap teks-teks normatif dalam kerangka maqāṣid al-syarī‘ah, yakni tujuan-tujuan utama syariat yang bertumpu pada perlindungan jiwa, akal, keturunan, agama, dan harta. Dalam konteks ini, al-maslaḥah atau kemaslahatan menjadi kunci untuk menilai relevansi dan urgensi sebuah hukum dalam kehidupan sosial yang dinamis.</w:t>
      </w:r>
    </w:p>
    <w:p w14:paraId="16245D67" w14:textId="77777777" w:rsidR="00A9309D" w:rsidRPr="006414C0" w:rsidRDefault="00A9309D" w:rsidP="009A40D6">
      <w:pPr>
        <w:ind w:right="41" w:firstLine="696"/>
        <w:rPr>
          <w:szCs w:val="24"/>
        </w:rPr>
      </w:pPr>
      <w:r w:rsidRPr="006414C0">
        <w:rPr>
          <w:szCs w:val="24"/>
        </w:rPr>
        <w:t>Salah satu pemikir Islam yang memberi tekanan besar pada maslahah sebagai dasar dalam pengemabilan hukum ialah Najm al-Dīn al-Ṭūfī seorang ulama Hanbali yang terkenal dengan pemikirannya mengenai maslahah mursalah, menawarkan pendekatan hukum Islam yang progresif dan kontekstual. Meskipun ia hidup di era klasik, gagasannya tentang pentingnya kemaslahatan dalam menentukan hukum membuka peluang untuk mengkaji kembali relasi antara laki-laki dan perempuan dalam perspektif keadilan. Dalam hal ini, konsep kesetaraan gender dapat ditinjau ulang melalui pendekatan maqāṣid al-syarīʿah dan maslahat yang digagas al-Ṭūfī, terutama dalam konteks hukum keluarga dan sosial.</w:t>
      </w:r>
    </w:p>
    <w:p w14:paraId="0C1FF82F" w14:textId="77777777" w:rsidR="00A9309D" w:rsidRPr="006414C0" w:rsidRDefault="00A9309D" w:rsidP="009A40D6">
      <w:pPr>
        <w:ind w:right="41" w:firstLine="696"/>
        <w:rPr>
          <w:szCs w:val="24"/>
        </w:rPr>
      </w:pPr>
      <w:r w:rsidRPr="006414C0">
        <w:rPr>
          <w:szCs w:val="24"/>
        </w:rPr>
        <w:t>Menurut al-Ṭūfī, hukum Islam harus diarahkan pada tujuan utama syariat, yaitu kemaslahatan umat manusia. Dalam konteks relasi gender, jika suatu ketentuan syariat dianggap menimbulkan ketidakadilan atau merugikan salah satu pihak, khususnya perempuan, maka pendekatan maslahat dapat digunakan untuk meninjau kembali ketentuan tersebut. Misalnya, dalam isu poligami, kewajiban nafkah, atau hak cerai, al-Ṭūfī memberi ruang untuk modifikasi hukum sepanjang hal itu mendatangkan manfaat dan mencegah kerugian yang nyata. Ini menunjukkan bahwa prinsip maslahat dapat menjadi dasar untuk mewujudkan keadilan relasional antara laki-laki dan perempuan.</w:t>
      </w:r>
    </w:p>
    <w:p w14:paraId="4180ECA7" w14:textId="77777777" w:rsidR="00A9309D" w:rsidRPr="006414C0" w:rsidRDefault="00A9309D" w:rsidP="009A40D6">
      <w:pPr>
        <w:ind w:right="41" w:firstLine="696"/>
        <w:rPr>
          <w:szCs w:val="24"/>
        </w:rPr>
      </w:pPr>
      <w:r w:rsidRPr="006414C0">
        <w:rPr>
          <w:szCs w:val="24"/>
        </w:rPr>
        <w:lastRenderedPageBreak/>
        <w:t>Al-Ṭūfī menyadari bahwa hukum syariat tidak berdiri dalam ruang hampa, melainkan harus merespons kondisi sosial yang terus berubah. Ia tidak membatasi peran perempuan pada ranah domestik sebagaimana pandangan konservatif klasik, karena tidak ada dalil qath’i yang mengharuskan demikian. Selama perempuan menjalankan peran sosial atau publik yang tidak bertentangan dengan nilai maslahat dan tidak menimbulkan mafsadah, hal tersebut dapat diterima. Pandangan ini sejalan dengan maqāṣid al-syarīʿah yang bertujuan menjaga kehormatan (ḥifẓ al-nasl) dan hak individu.</w:t>
      </w:r>
      <w:r w:rsidRPr="006414C0">
        <w:rPr>
          <w:szCs w:val="24"/>
        </w:rPr>
        <w:footnoteReference w:id="17"/>
      </w:r>
    </w:p>
    <w:p w14:paraId="0A03AABF" w14:textId="77777777" w:rsidR="00A9309D" w:rsidRPr="006414C0" w:rsidRDefault="00A9309D" w:rsidP="009A40D6">
      <w:pPr>
        <w:ind w:right="41" w:firstLine="696"/>
        <w:rPr>
          <w:szCs w:val="24"/>
        </w:rPr>
      </w:pPr>
      <w:r w:rsidRPr="006414C0">
        <w:rPr>
          <w:szCs w:val="24"/>
        </w:rPr>
        <w:t>Salah satu kontribusi besar al-Ṭūfī dalam konteks kesetaraan gender adalah fleksibilitasnya terhadap ijtihad hukum. Ia tidak membatasi ijtihad hanya pada nash-nash terdahulu, tetapi membuka peluang ijtihad baru yang berbasis maslahat, selama tidak bertentangan dengan prinsip-prinsip dasar agama. Dengan demikian, prinsip keadilan gender dalam hukum Islam dapat diupayakan melalui penyesuaian hukum yang berpijak pada maslahat yang kontekstual dan objektif, bukan hanya teks literal semata.</w:t>
      </w:r>
    </w:p>
    <w:p w14:paraId="49BA2054" w14:textId="77777777" w:rsidR="00A9309D" w:rsidRPr="006414C0" w:rsidRDefault="00A9309D" w:rsidP="009A40D6">
      <w:pPr>
        <w:ind w:right="41" w:firstLine="696"/>
        <w:rPr>
          <w:szCs w:val="24"/>
        </w:rPr>
      </w:pPr>
      <w:r w:rsidRPr="006414C0">
        <w:rPr>
          <w:szCs w:val="24"/>
        </w:rPr>
        <w:t>Seperti halnya saat ini banyak perempuan yang memiliki kompetensi, integritas, dan kapabilitas dalam bidang kepemimpinan, mereka masih sering dihadapkan pada hambatan struktural dan budaya yang menghalangi mereka untuk menempati posisi strategis dalam pemerintahan, organisasi keagamaan, maupun lembaga pendidikan Islam. Salah satu argumen yang kerap digunakan adalah dalil keagamaan yang dianggap melarang perempuan menjadi pemimpin, terutama dalam konteks kepemimpinan umum. Najm al-Dīn al-Ṭūfī (w. 716 H) menempatkan maslaḥah (kemaslahatan) sebagai instrumen utama dalam penetapan hukum pada wilayah muʿāmalah (interaksi sosial) dan ʿādah (kebiasaan). Dalam Sharḥ al-Arbaʿīn al-Nawawiyyah, khususnya penjelasan hadis "lā ḍarar wa lā ḍirār", ia menekankan bahwa maslaḥah dapat mendahului dalil-dalil nash selain yang bersifat qath‘i (pasti).</w:t>
      </w:r>
    </w:p>
    <w:p w14:paraId="0477002D" w14:textId="77777777" w:rsidR="00A9309D" w:rsidRPr="006414C0" w:rsidRDefault="00A9309D" w:rsidP="009A40D6">
      <w:pPr>
        <w:ind w:right="41" w:firstLine="696"/>
        <w:rPr>
          <w:szCs w:val="24"/>
        </w:rPr>
      </w:pPr>
      <w:r w:rsidRPr="006414C0">
        <w:rPr>
          <w:szCs w:val="24"/>
        </w:rPr>
        <w:t xml:space="preserve">Pelarangan perempuan menjadi pemimpin termasuk dalam kategori muʿāmalah dan siyāsah, bukan ibadah mahdhah. Oleh karena itu, menurut al-Ṭūfī, kebijakan ini boleh diubah atau bahkan ditinggalkan apabila terbukti menimbulkan maḍarrah (kerusakan) dan bertentangan dengan maslahat umum. Dengan menimbang madarrah dan maslahah, jika pelarangan ini dapat menimbulkan hambatan bagi perempuan untuk berkontribusi di ruang publik padahal mereka memiliki kompetensi, lalu dapat memperkuat budaya patriarkis yang dapat mendiskreditkan kemampuan perempuan, </w:t>
      </w:r>
      <w:r w:rsidRPr="006414C0">
        <w:rPr>
          <w:szCs w:val="24"/>
        </w:rPr>
        <w:lastRenderedPageBreak/>
        <w:t>hingga dapat menurunkan daya saing bangsa dengan menyia-nyiakan separuh potensi penduduknya, sehingga dapat menghasilkan ketidakadilan sistemik terutama bagi perempuan yang ingin terlibat aktif dalam kehidupan sosial-politik. Maka larangan tersebut justru menghasilkan madarrah yang nyata dan luas. Ini bertentangan langsung dengan maqasid al-syariah yang bertujuan menjaga Ḥifẓ al-nafs (menjaga jiwa manusia dan martabatnya), Ḥifẓ al-‘aql (pengembangan akal dan potensi intelektual), Ḥifẓ al-dīn (menjaga nilai-nilai agama agar tidak menjadi alat ketidakadilan), Ḥifẓ al-nasl (menjaga keberlanjutan dan kualitas masyarakat), Ḥifẓ al-māl (pengelolaan sumber daya, termasuk SDM perempuan).</w:t>
      </w:r>
    </w:p>
    <w:p w14:paraId="3949DC1D" w14:textId="77777777" w:rsidR="006508A5" w:rsidRDefault="006508A5">
      <w:pPr>
        <w:pStyle w:val="Heading1"/>
        <w:ind w:left="-5"/>
        <w:rPr>
          <w:szCs w:val="24"/>
        </w:rPr>
      </w:pPr>
    </w:p>
    <w:p w14:paraId="644E60AA" w14:textId="3EF432B3" w:rsidR="005947C0" w:rsidRPr="008F2F96" w:rsidRDefault="006508A5">
      <w:pPr>
        <w:pStyle w:val="Heading1"/>
        <w:ind w:left="-5"/>
        <w:rPr>
          <w:szCs w:val="24"/>
        </w:rPr>
      </w:pPr>
      <w:r w:rsidRPr="006508A5">
        <w:rPr>
          <w:szCs w:val="24"/>
        </w:rPr>
        <w:t>K</w:t>
      </w:r>
      <w:r w:rsidRPr="008F2F96">
        <w:rPr>
          <w:szCs w:val="24"/>
        </w:rPr>
        <w:t>ESIMPULAN</w:t>
      </w:r>
    </w:p>
    <w:p w14:paraId="2DDF3AF1" w14:textId="77777777" w:rsidR="005947C0" w:rsidRPr="006414C0" w:rsidRDefault="008B201F" w:rsidP="006508A5">
      <w:pPr>
        <w:ind w:right="41" w:firstLine="696"/>
        <w:rPr>
          <w:szCs w:val="24"/>
        </w:rPr>
      </w:pPr>
      <w:r w:rsidRPr="006414C0">
        <w:rPr>
          <w:szCs w:val="24"/>
        </w:rPr>
        <w:t>Pemikiran Najm al-Dīn al-Ṭūfī melalui karya al-Ta’yin fi Sharh al-Arba’in memberikan kontribusi signifikan terhadap diskursus hukum Islam, khususnya dalam konteks penguatan prinsip maslahah sebagai basis ijtihad. Al-Ṭūfī menempatkan maslahah sebagai sumber hukum yang independen dan bahkan memiliki kedudukan yang lebih tinggi dibanding nash dalam perkara sosial dan muamalah, selama tidak bertentangan dengan maqāṣid al-syarīʿah.</w:t>
      </w:r>
      <w:r w:rsidRPr="006414C0">
        <w:rPr>
          <w:b/>
          <w:szCs w:val="24"/>
        </w:rPr>
        <w:t xml:space="preserve"> </w:t>
      </w:r>
    </w:p>
    <w:p w14:paraId="6A35E38D" w14:textId="77777777" w:rsidR="006508A5" w:rsidRDefault="008B201F" w:rsidP="006508A5">
      <w:pPr>
        <w:ind w:right="41" w:firstLine="696"/>
        <w:rPr>
          <w:b/>
          <w:szCs w:val="24"/>
        </w:rPr>
      </w:pPr>
      <w:r w:rsidRPr="006414C0">
        <w:rPr>
          <w:szCs w:val="24"/>
        </w:rPr>
        <w:t>Pendekatan ini memungkinkan fleksibilitas hukum Islam untuk merespons dinamika sosial dan tantangan zaman, termasuk dalam isu-isu kontemporer seperti kesetaraan gender. Meskipun pandangannya berbeda dengan jumhur ulama, al-Ṭūfī tetap menjaga kesetiaan pada prinsip-prinsip dasar syariat dan menghindari intervensi akal pada wilayah ibadah yang bersifat tauqifi.</w:t>
      </w:r>
      <w:r w:rsidRPr="006414C0">
        <w:rPr>
          <w:b/>
          <w:szCs w:val="24"/>
        </w:rPr>
        <w:t xml:space="preserve"> </w:t>
      </w:r>
      <w:r w:rsidRPr="006414C0">
        <w:rPr>
          <w:szCs w:val="24"/>
        </w:rPr>
        <w:t>Gagasannya tentang rasionalitas dan maslahat membuka ruang bagi ijtihad progresif yang kontekstual dan humanistik. Oleh sebab itu, pemikiran al-Ṭūfī tidak hanya relevan secara historis, tetapi juga penting untuk dikaji ulang dalam upaya aktualisasi hukum Islam yang adil, inklusif, dan solutif di era modern.</w:t>
      </w:r>
    </w:p>
    <w:p w14:paraId="0DF9A5AF" w14:textId="77777777" w:rsidR="006508A5" w:rsidRDefault="006508A5" w:rsidP="006508A5">
      <w:pPr>
        <w:ind w:right="41" w:firstLine="696"/>
        <w:rPr>
          <w:b/>
          <w:szCs w:val="24"/>
        </w:rPr>
      </w:pPr>
    </w:p>
    <w:p w14:paraId="56478E49" w14:textId="0072CE3E" w:rsidR="005947C0" w:rsidRPr="006508A5" w:rsidRDefault="006508A5" w:rsidP="006508A5">
      <w:pPr>
        <w:ind w:right="41" w:firstLine="0"/>
        <w:jc w:val="center"/>
        <w:rPr>
          <w:b/>
          <w:bCs/>
          <w:szCs w:val="24"/>
        </w:rPr>
      </w:pPr>
      <w:r w:rsidRPr="006508A5">
        <w:rPr>
          <w:b/>
          <w:bCs/>
          <w:szCs w:val="24"/>
        </w:rPr>
        <w:t>DAFTAR PUSTAKA</w:t>
      </w:r>
    </w:p>
    <w:p w14:paraId="122A7976" w14:textId="77777777" w:rsidR="005947C0" w:rsidRPr="006414C0" w:rsidRDefault="008B201F" w:rsidP="00714B1B">
      <w:pPr>
        <w:spacing w:after="0"/>
        <w:ind w:left="716" w:right="0" w:hanging="731"/>
        <w:rPr>
          <w:szCs w:val="24"/>
        </w:rPr>
      </w:pPr>
      <w:r w:rsidRPr="006414C0">
        <w:rPr>
          <w:szCs w:val="24"/>
        </w:rPr>
        <w:t xml:space="preserve">A. Halil Thahir, </w:t>
      </w:r>
      <w:r w:rsidRPr="006414C0">
        <w:rPr>
          <w:i/>
          <w:szCs w:val="24"/>
        </w:rPr>
        <w:t xml:space="preserve">Ijtihad Maqasidi Rekonstruksi Hukum Islam Berbasis Interkoneksitas Maslahah, </w:t>
      </w:r>
      <w:r w:rsidRPr="006414C0">
        <w:rPr>
          <w:szCs w:val="24"/>
        </w:rPr>
        <w:t xml:space="preserve">(Jombang: Wasilahbuku, 2023). </w:t>
      </w:r>
    </w:p>
    <w:p w14:paraId="02826FC6" w14:textId="77777777" w:rsidR="005947C0" w:rsidRPr="006414C0" w:rsidRDefault="008B201F" w:rsidP="00714B1B">
      <w:pPr>
        <w:ind w:left="721" w:right="41" w:hanging="721"/>
        <w:rPr>
          <w:szCs w:val="24"/>
        </w:rPr>
      </w:pPr>
      <w:r w:rsidRPr="006414C0">
        <w:rPr>
          <w:szCs w:val="24"/>
        </w:rPr>
        <w:t xml:space="preserve">Iwan Hermawan, Ushul Fiqh: Metode Kajian Hukum Islam (Kuningan: Hidayatul Qur’an, 2019) </w:t>
      </w:r>
    </w:p>
    <w:p w14:paraId="6106B27B" w14:textId="77777777" w:rsidR="005947C0" w:rsidRPr="006414C0" w:rsidRDefault="008B201F" w:rsidP="00714B1B">
      <w:pPr>
        <w:ind w:left="721" w:right="41" w:hanging="721"/>
        <w:rPr>
          <w:szCs w:val="24"/>
        </w:rPr>
      </w:pPr>
      <w:r w:rsidRPr="006414C0">
        <w:rPr>
          <w:szCs w:val="24"/>
        </w:rPr>
        <w:lastRenderedPageBreak/>
        <w:t xml:space="preserve">Mustafa Zaid, al-Maslahah fi al-Tashri’ al-Islami wa Najm al-Din al-Tufi, (Mesir: Dar al-Fikr al-Arabi, 1954 </w:t>
      </w:r>
    </w:p>
    <w:p w14:paraId="58F9F153" w14:textId="77777777" w:rsidR="005947C0" w:rsidRPr="006414C0" w:rsidRDefault="008B201F" w:rsidP="00714B1B">
      <w:pPr>
        <w:ind w:left="721" w:right="41" w:hanging="721"/>
        <w:rPr>
          <w:szCs w:val="24"/>
        </w:rPr>
      </w:pPr>
      <w:r w:rsidRPr="006414C0">
        <w:rPr>
          <w:szCs w:val="24"/>
        </w:rPr>
        <w:t xml:space="preserve">Najmudin Al-Thufi, </w:t>
      </w:r>
      <w:r w:rsidRPr="006414C0">
        <w:rPr>
          <w:i/>
          <w:szCs w:val="24"/>
        </w:rPr>
        <w:t>Penjelasan 40 Hadis Nawawi: Al-Ta’yin Syarh al-Arba’in,</w:t>
      </w:r>
      <w:r w:rsidRPr="006414C0">
        <w:rPr>
          <w:szCs w:val="24"/>
        </w:rPr>
        <w:t xml:space="preserve"> Terj. Muhammad Izzan (Jakarta: Pustaka Al-Kautsar, 2016). </w:t>
      </w:r>
    </w:p>
    <w:p w14:paraId="07ABE96D" w14:textId="77777777" w:rsidR="005947C0" w:rsidRPr="006414C0" w:rsidRDefault="008B201F" w:rsidP="00714B1B">
      <w:pPr>
        <w:ind w:left="721" w:right="41" w:hanging="721"/>
        <w:rPr>
          <w:szCs w:val="24"/>
        </w:rPr>
      </w:pPr>
      <w:r w:rsidRPr="006414C0">
        <w:rPr>
          <w:szCs w:val="24"/>
        </w:rPr>
        <w:t xml:space="preserve">Qamaruddin Khan, Pemikiran Politik Ibn Taimiyyah, Terj. Anas Mahyuddin, (Bandung: Pustaka, 1983). </w:t>
      </w:r>
    </w:p>
    <w:p w14:paraId="6926C021" w14:textId="77777777" w:rsidR="005947C0" w:rsidRPr="006414C0" w:rsidRDefault="008B201F" w:rsidP="00714B1B">
      <w:pPr>
        <w:ind w:left="721" w:right="41" w:hanging="721"/>
        <w:rPr>
          <w:szCs w:val="24"/>
        </w:rPr>
      </w:pPr>
      <w:r w:rsidRPr="006414C0">
        <w:rPr>
          <w:szCs w:val="24"/>
        </w:rPr>
        <w:t xml:space="preserve">Rusdaya Basri, “Pandangan At-Thufi dan as-Syatibitentang Maslahat: Studi Analisis Perbandingan,” </w:t>
      </w:r>
      <w:r w:rsidRPr="006414C0">
        <w:rPr>
          <w:i/>
          <w:szCs w:val="24"/>
        </w:rPr>
        <w:t xml:space="preserve">Jurnal Hukum Diktum </w:t>
      </w:r>
      <w:r w:rsidRPr="006414C0">
        <w:rPr>
          <w:szCs w:val="24"/>
        </w:rPr>
        <w:t xml:space="preserve">9, no. 2 (2011) </w:t>
      </w:r>
    </w:p>
    <w:p w14:paraId="0EA5A169" w14:textId="77777777" w:rsidR="005947C0" w:rsidRPr="006414C0" w:rsidRDefault="008B201F" w:rsidP="00714B1B">
      <w:pPr>
        <w:spacing w:after="75"/>
        <w:ind w:left="721" w:right="41" w:hanging="721"/>
        <w:rPr>
          <w:szCs w:val="24"/>
        </w:rPr>
      </w:pPr>
      <w:r w:rsidRPr="006414C0">
        <w:rPr>
          <w:szCs w:val="24"/>
        </w:rPr>
        <w:t xml:space="preserve">Lajnah Pentashihan Mushaf Al-Qur’an, </w:t>
      </w:r>
      <w:r w:rsidRPr="006414C0">
        <w:rPr>
          <w:i/>
          <w:szCs w:val="24"/>
        </w:rPr>
        <w:t xml:space="preserve">Al-Qur’an dan terjemahannya, </w:t>
      </w:r>
      <w:r w:rsidRPr="006414C0">
        <w:rPr>
          <w:szCs w:val="24"/>
        </w:rPr>
        <w:t xml:space="preserve">(Edisi Penyempurnaan: 2019). </w:t>
      </w:r>
    </w:p>
    <w:p w14:paraId="032DF072" w14:textId="77777777" w:rsidR="005947C0" w:rsidRPr="006414C0" w:rsidRDefault="008B201F" w:rsidP="00714B1B">
      <w:pPr>
        <w:spacing w:after="0" w:line="259" w:lineRule="auto"/>
        <w:ind w:left="170" w:right="0" w:firstLine="0"/>
        <w:rPr>
          <w:szCs w:val="24"/>
        </w:rPr>
      </w:pPr>
      <w:r w:rsidRPr="006414C0">
        <w:rPr>
          <w:b/>
          <w:szCs w:val="24"/>
        </w:rPr>
        <w:t xml:space="preserve"> </w:t>
      </w:r>
    </w:p>
    <w:sectPr w:rsidR="005947C0" w:rsidRPr="006414C0" w:rsidSect="00297911">
      <w:headerReference w:type="even" r:id="rId7"/>
      <w:headerReference w:type="default" r:id="rId8"/>
      <w:footerReference w:type="even" r:id="rId9"/>
      <w:footerReference w:type="default" r:id="rId10"/>
      <w:headerReference w:type="first" r:id="rId11"/>
      <w:footerReference w:type="first" r:id="rId12"/>
      <w:pgSz w:w="11905" w:h="16840" w:code="9"/>
      <w:pgMar w:top="1701" w:right="1701" w:bottom="1701" w:left="1701"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86C7" w14:textId="77777777" w:rsidR="0002046A" w:rsidRDefault="0002046A">
      <w:pPr>
        <w:spacing w:after="0" w:line="240" w:lineRule="auto"/>
      </w:pPr>
      <w:r>
        <w:separator/>
      </w:r>
    </w:p>
  </w:endnote>
  <w:endnote w:type="continuationSeparator" w:id="0">
    <w:p w14:paraId="5AD8A029" w14:textId="77777777" w:rsidR="0002046A" w:rsidRDefault="0002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38E3" w14:textId="77777777" w:rsidR="00297911" w:rsidRDefault="00297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264C" w14:textId="3E0412C3" w:rsidR="00A20353" w:rsidRPr="00342803" w:rsidRDefault="00F54911" w:rsidP="00F54911">
    <w:pPr>
      <w:pStyle w:val="Footer"/>
      <w:pBdr>
        <w:top w:val="single" w:sz="4" w:space="1" w:color="D9D9D9" w:themeColor="background1" w:themeShade="D9"/>
      </w:pBdr>
      <w:jc w:val="right"/>
      <w:rPr>
        <w:rFonts w:asciiTheme="majorBidi" w:hAnsiTheme="majorBidi" w:cstheme="majorBidi"/>
        <w:b/>
        <w:bCs/>
      </w:rPr>
    </w:pPr>
    <w:r w:rsidRPr="00F54911">
      <w:rPr>
        <w:rFonts w:asciiTheme="majorBidi" w:hAnsiTheme="majorBidi" w:cstheme="majorBidi"/>
        <w:b/>
        <w:bCs/>
        <w:sz w:val="22"/>
        <w:szCs w:val="20"/>
        <w:lang w:val="en-US"/>
      </w:rPr>
      <w:t>Adinda &amp; Ummi</w:t>
    </w:r>
    <w:r w:rsidR="00A20353" w:rsidRPr="00F54911">
      <w:rPr>
        <w:rFonts w:asciiTheme="majorBidi" w:hAnsiTheme="majorBidi" w:cstheme="majorBidi"/>
        <w:sz w:val="22"/>
        <w:szCs w:val="20"/>
      </w:rPr>
      <w:t xml:space="preserve">, </w:t>
    </w:r>
    <w:r w:rsidRPr="00F54911">
      <w:rPr>
        <w:rFonts w:asciiTheme="majorBidi" w:hAnsiTheme="majorBidi" w:cstheme="majorBidi"/>
        <w:bCs/>
        <w:i/>
        <w:iCs/>
        <w:sz w:val="22"/>
        <w:szCs w:val="20"/>
      </w:rPr>
      <w:t>Kajian Kitab Al-Ta’yin Fi Syarh Al-Arba’in</w:t>
    </w:r>
    <w:r w:rsidR="00A20353">
      <w:rPr>
        <w:rFonts w:asciiTheme="majorBidi" w:hAnsiTheme="majorBidi" w:cstheme="majorBidi"/>
        <w:i/>
        <w:iCs/>
      </w:rPr>
      <w:t>…</w:t>
    </w:r>
    <w:r w:rsidR="00A20353" w:rsidRPr="00342803">
      <w:rPr>
        <w:rFonts w:asciiTheme="majorBidi" w:hAnsiTheme="majorBidi" w:cstheme="majorBidi"/>
      </w:rPr>
      <w:t xml:space="preserve">| </w:t>
    </w:r>
    <w:r w:rsidR="00A20353" w:rsidRPr="00342803">
      <w:rPr>
        <w:rFonts w:asciiTheme="majorBidi" w:hAnsiTheme="majorBidi" w:cstheme="majorBidi"/>
      </w:rPr>
      <w:fldChar w:fldCharType="begin"/>
    </w:r>
    <w:r w:rsidR="00A20353" w:rsidRPr="00342803">
      <w:rPr>
        <w:rFonts w:asciiTheme="majorBidi" w:hAnsiTheme="majorBidi" w:cstheme="majorBidi"/>
      </w:rPr>
      <w:instrText xml:space="preserve"> PAGE   \* MERGEFORMAT </w:instrText>
    </w:r>
    <w:r w:rsidR="00A20353" w:rsidRPr="00342803">
      <w:rPr>
        <w:rFonts w:asciiTheme="majorBidi" w:hAnsiTheme="majorBidi" w:cstheme="majorBidi"/>
      </w:rPr>
      <w:fldChar w:fldCharType="separate"/>
    </w:r>
    <w:r w:rsidR="00A20353">
      <w:rPr>
        <w:rFonts w:asciiTheme="majorBidi" w:hAnsiTheme="majorBidi" w:cstheme="majorBidi"/>
      </w:rPr>
      <w:t>2</w:t>
    </w:r>
    <w:r w:rsidR="00A20353" w:rsidRPr="00342803">
      <w:rPr>
        <w:rFonts w:asciiTheme="majorBidi" w:hAnsiTheme="majorBidi" w:cstheme="majorBidi"/>
        <w:b/>
        <w:bCs/>
        <w:noProof/>
      </w:rPr>
      <w:fldChar w:fldCharType="end"/>
    </w:r>
  </w:p>
  <w:p w14:paraId="2EB67217" w14:textId="77777777" w:rsidR="00A20353" w:rsidRDefault="00A20353" w:rsidP="00A20353">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7BC4" w14:textId="77777777" w:rsidR="00F54911" w:rsidRPr="00342803" w:rsidRDefault="00F54911" w:rsidP="00F54911">
    <w:pPr>
      <w:pStyle w:val="Footer"/>
      <w:pBdr>
        <w:top w:val="single" w:sz="4" w:space="1" w:color="D9D9D9" w:themeColor="background1" w:themeShade="D9"/>
      </w:pBdr>
      <w:jc w:val="right"/>
      <w:rPr>
        <w:rFonts w:asciiTheme="majorBidi" w:hAnsiTheme="majorBidi" w:cstheme="majorBidi"/>
        <w:b/>
        <w:bCs/>
      </w:rPr>
    </w:pPr>
    <w:r w:rsidRPr="00F54911">
      <w:rPr>
        <w:rFonts w:asciiTheme="majorBidi" w:hAnsiTheme="majorBidi" w:cstheme="majorBidi"/>
        <w:b/>
        <w:bCs/>
        <w:sz w:val="22"/>
        <w:szCs w:val="20"/>
        <w:lang w:val="en-US"/>
      </w:rPr>
      <w:t>Adinda &amp; Ummi</w:t>
    </w:r>
    <w:r w:rsidRPr="00F54911">
      <w:rPr>
        <w:rFonts w:asciiTheme="majorBidi" w:hAnsiTheme="majorBidi" w:cstheme="majorBidi"/>
        <w:sz w:val="22"/>
        <w:szCs w:val="20"/>
      </w:rPr>
      <w:t xml:space="preserve">, </w:t>
    </w:r>
    <w:r w:rsidRPr="00F54911">
      <w:rPr>
        <w:rFonts w:asciiTheme="majorBidi" w:hAnsiTheme="majorBidi" w:cstheme="majorBidi"/>
        <w:bCs/>
        <w:i/>
        <w:iCs/>
        <w:sz w:val="22"/>
        <w:szCs w:val="20"/>
      </w:rPr>
      <w:t>Kajian Kitab Al-Ta’yin Fi Syarh Al-Arba’in</w:t>
    </w:r>
    <w:r>
      <w:rPr>
        <w:rFonts w:asciiTheme="majorBidi" w:hAnsiTheme="majorBidi" w:cstheme="majorBidi"/>
        <w:i/>
        <w:iCs/>
      </w:rPr>
      <w:t>…</w:t>
    </w:r>
    <w:r w:rsidRPr="00342803">
      <w:rPr>
        <w:rFonts w:asciiTheme="majorBidi" w:hAnsiTheme="majorBidi" w:cstheme="majorBidi"/>
      </w:rPr>
      <w:t xml:space="preserve">| </w:t>
    </w:r>
    <w:r w:rsidRPr="00342803">
      <w:rPr>
        <w:rFonts w:asciiTheme="majorBidi" w:hAnsiTheme="majorBidi" w:cstheme="majorBidi"/>
      </w:rPr>
      <w:fldChar w:fldCharType="begin"/>
    </w:r>
    <w:r w:rsidRPr="00342803">
      <w:rPr>
        <w:rFonts w:asciiTheme="majorBidi" w:hAnsiTheme="majorBidi" w:cstheme="majorBidi"/>
      </w:rPr>
      <w:instrText xml:space="preserve"> PAGE   \* MERGEFORMAT </w:instrText>
    </w:r>
    <w:r w:rsidRPr="00342803">
      <w:rPr>
        <w:rFonts w:asciiTheme="majorBidi" w:hAnsiTheme="majorBidi" w:cstheme="majorBidi"/>
      </w:rPr>
      <w:fldChar w:fldCharType="separate"/>
    </w:r>
    <w:r>
      <w:rPr>
        <w:rFonts w:asciiTheme="majorBidi" w:hAnsiTheme="majorBidi" w:cstheme="majorBidi"/>
      </w:rPr>
      <w:t>2</w:t>
    </w:r>
    <w:r w:rsidRPr="00342803">
      <w:rPr>
        <w:rFonts w:asciiTheme="majorBidi" w:hAnsiTheme="majorBidi" w:cstheme="majorBidi"/>
        <w:b/>
        <w:bCs/>
        <w:noProof/>
      </w:rPr>
      <w:fldChar w:fldCharType="end"/>
    </w:r>
  </w:p>
  <w:p w14:paraId="1D4B1677" w14:textId="77777777" w:rsidR="00F54911" w:rsidRDefault="00F54911" w:rsidP="00F54911">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98D98" w14:textId="77777777" w:rsidR="0002046A" w:rsidRDefault="0002046A">
      <w:pPr>
        <w:spacing w:after="8" w:line="246" w:lineRule="auto"/>
        <w:ind w:right="38" w:firstLine="0"/>
        <w:jc w:val="left"/>
      </w:pPr>
      <w:r>
        <w:separator/>
      </w:r>
    </w:p>
  </w:footnote>
  <w:footnote w:type="continuationSeparator" w:id="0">
    <w:p w14:paraId="49C809FE" w14:textId="77777777" w:rsidR="0002046A" w:rsidRDefault="0002046A">
      <w:pPr>
        <w:spacing w:after="8" w:line="246" w:lineRule="auto"/>
        <w:ind w:right="38" w:firstLine="0"/>
        <w:jc w:val="left"/>
      </w:pPr>
      <w:r>
        <w:continuationSeparator/>
      </w:r>
    </w:p>
  </w:footnote>
  <w:footnote w:id="1">
    <w:p w14:paraId="41B5A68A" w14:textId="77777777" w:rsidR="005947C0" w:rsidRDefault="008B201F">
      <w:pPr>
        <w:pStyle w:val="footnotedescription"/>
        <w:spacing w:after="8" w:line="246" w:lineRule="auto"/>
        <w:ind w:right="38"/>
      </w:pPr>
      <w:r>
        <w:rPr>
          <w:rStyle w:val="footnotemark"/>
        </w:rPr>
        <w:footnoteRef/>
      </w:r>
      <w:r>
        <w:t xml:space="preserve"> Najmudin Al-Thufi, </w:t>
      </w:r>
      <w:r>
        <w:rPr>
          <w:i/>
        </w:rPr>
        <w:t>Penjelasan 40 Hadis Nawawi: Al-Ta’yin Syarh al-Arba’in,</w:t>
      </w:r>
      <w:r>
        <w:t xml:space="preserve"> Terj. Muhammad Izzan (Jakarta: Pustaka Al-Kautsar, 2016), 43-45. </w:t>
      </w:r>
    </w:p>
  </w:footnote>
  <w:footnote w:id="2">
    <w:p w14:paraId="70C2D9CA" w14:textId="77777777" w:rsidR="005947C0" w:rsidRDefault="008B201F">
      <w:pPr>
        <w:pStyle w:val="footnotedescription"/>
      </w:pPr>
      <w:r>
        <w:rPr>
          <w:rStyle w:val="footnotemark"/>
        </w:rPr>
        <w:footnoteRef/>
      </w:r>
      <w:r>
        <w:t xml:space="preserve"> Najmudin Al-Thufi, </w:t>
      </w:r>
      <w:r>
        <w:rPr>
          <w:i/>
        </w:rPr>
        <w:t>Penjelasan 40 Hadis Nawawi: Al-Ta’yin Syarh al-Arba’in,</w:t>
      </w:r>
      <w:r>
        <w:t xml:space="preserve"> Terj. </w:t>
      </w:r>
    </w:p>
    <w:p w14:paraId="7E2A1C88" w14:textId="77777777" w:rsidR="005947C0" w:rsidRDefault="008B201F">
      <w:pPr>
        <w:pStyle w:val="footnotedescription"/>
      </w:pPr>
      <w:r>
        <w:t xml:space="preserve">Muhammad Izzan....42-43 </w:t>
      </w:r>
    </w:p>
  </w:footnote>
  <w:footnote w:id="3">
    <w:p w14:paraId="30957AE1" w14:textId="77777777" w:rsidR="005947C0" w:rsidRDefault="008B201F">
      <w:pPr>
        <w:pStyle w:val="footnotedescription"/>
        <w:spacing w:line="250" w:lineRule="auto"/>
      </w:pPr>
      <w:r>
        <w:rPr>
          <w:rStyle w:val="footnotemark"/>
        </w:rPr>
        <w:footnoteRef/>
      </w:r>
      <w:r>
        <w:t xml:space="preserve"> Rusdaya Basri, “Pandangan At-Thufi dan as-Syatibitentang Maslahat: Studi Analisis Perbandingan,” </w:t>
      </w:r>
      <w:r>
        <w:rPr>
          <w:i/>
        </w:rPr>
        <w:t xml:space="preserve">Jurnal Hukum Diktum </w:t>
      </w:r>
      <w:r>
        <w:t xml:space="preserve">9, no. 2 (2011), 176-186. </w:t>
      </w:r>
    </w:p>
  </w:footnote>
  <w:footnote w:id="4">
    <w:p w14:paraId="7197CBBF" w14:textId="77777777" w:rsidR="005947C0" w:rsidRDefault="008B201F">
      <w:pPr>
        <w:pStyle w:val="footnotedescription"/>
        <w:spacing w:line="258" w:lineRule="auto"/>
      </w:pPr>
      <w:r>
        <w:rPr>
          <w:rStyle w:val="footnotemark"/>
        </w:rPr>
        <w:footnoteRef/>
      </w:r>
      <w:r>
        <w:t xml:space="preserve"> A. Halil Thahir, </w:t>
      </w:r>
      <w:r>
        <w:rPr>
          <w:i/>
        </w:rPr>
        <w:t xml:space="preserve">Ijtihad Maqasidi Rekonstruksi Hukum Islam Berbasis Interkoneksitas Maslahah, </w:t>
      </w:r>
      <w:r>
        <w:t xml:space="preserve">(Jombang: Wasilahbuku, 2023). </w:t>
      </w:r>
    </w:p>
  </w:footnote>
  <w:footnote w:id="5">
    <w:p w14:paraId="67705F90" w14:textId="77777777" w:rsidR="005947C0" w:rsidRDefault="008B201F">
      <w:pPr>
        <w:pStyle w:val="footnotedescription"/>
        <w:spacing w:line="263" w:lineRule="auto"/>
      </w:pPr>
      <w:r>
        <w:rPr>
          <w:rStyle w:val="footnotemark"/>
        </w:rPr>
        <w:footnoteRef/>
      </w:r>
      <w:r>
        <w:t xml:space="preserve"> Iwan Hermawan, Ushul Fiqh: Metode Kajian Hukum Islam (Kuningan: Hidayatul Qur’an, 2019), 163. </w:t>
      </w:r>
    </w:p>
  </w:footnote>
  <w:footnote w:id="6">
    <w:p w14:paraId="5D0EF6D8" w14:textId="77777777" w:rsidR="005947C0" w:rsidRDefault="008B201F">
      <w:pPr>
        <w:pStyle w:val="footnotedescription"/>
        <w:spacing w:line="250" w:lineRule="auto"/>
      </w:pPr>
      <w:r>
        <w:rPr>
          <w:rStyle w:val="footnotemark"/>
        </w:rPr>
        <w:footnoteRef/>
      </w:r>
      <w:r>
        <w:t xml:space="preserve"> Rusdaya Basri, “Pandangan At-Thufi dan as-Syatibitentang Maslahat: Studi Analisis Perbandingan,” </w:t>
      </w:r>
      <w:r>
        <w:rPr>
          <w:i/>
        </w:rPr>
        <w:t xml:space="preserve">Jurnal Hukum Diktum </w:t>
      </w:r>
      <w:r>
        <w:t xml:space="preserve">9, no. 2 (2011), 159. </w:t>
      </w:r>
    </w:p>
  </w:footnote>
  <w:footnote w:id="7">
    <w:p w14:paraId="2220AD03" w14:textId="77777777" w:rsidR="005947C0" w:rsidRDefault="008B201F">
      <w:pPr>
        <w:pStyle w:val="footnotedescription"/>
        <w:spacing w:line="264" w:lineRule="auto"/>
      </w:pPr>
      <w:r>
        <w:rPr>
          <w:rStyle w:val="footnotemark"/>
        </w:rPr>
        <w:footnoteRef/>
      </w:r>
      <w:r>
        <w:t xml:space="preserve"> Qamaruddin Khan, Pemikiran Politik Ibn Taimiyyah, Terj. Anas Mahyuddin, (Bandung: Pustaka, 1983), h. 37-38. </w:t>
      </w:r>
    </w:p>
  </w:footnote>
  <w:footnote w:id="8">
    <w:p w14:paraId="5A9A1F2F" w14:textId="77777777" w:rsidR="005947C0" w:rsidRDefault="008B201F">
      <w:pPr>
        <w:pStyle w:val="footnotedescription"/>
        <w:spacing w:line="257" w:lineRule="auto"/>
      </w:pPr>
      <w:r>
        <w:rPr>
          <w:rStyle w:val="footnotemark"/>
        </w:rPr>
        <w:footnoteRef/>
      </w:r>
      <w:r>
        <w:t xml:space="preserve"> A. Halil Thahir, </w:t>
      </w:r>
      <w:r>
        <w:rPr>
          <w:i/>
        </w:rPr>
        <w:t xml:space="preserve">Ijtihad Maqasidi Rekonstruksi Hukum Islam Berbasis Interkoneksitas Maslahah, </w:t>
      </w:r>
      <w:r>
        <w:t xml:space="preserve">(Jombang: Wasilahbuku, 2023). </w:t>
      </w:r>
    </w:p>
  </w:footnote>
  <w:footnote w:id="9">
    <w:p w14:paraId="65AB38C5" w14:textId="77777777" w:rsidR="005947C0" w:rsidRDefault="008B201F">
      <w:pPr>
        <w:pStyle w:val="footnotedescription"/>
        <w:spacing w:line="257" w:lineRule="auto"/>
      </w:pPr>
      <w:r>
        <w:rPr>
          <w:rStyle w:val="footnotemark"/>
        </w:rPr>
        <w:footnoteRef/>
      </w:r>
      <w:r>
        <w:t xml:space="preserve"> A. Halil Thahir, </w:t>
      </w:r>
      <w:r>
        <w:rPr>
          <w:i/>
        </w:rPr>
        <w:t>Ijtihad Maqasidi Rekonstruksi Hukum Islam Berbasis Interkoneksitas Maslahah.....</w:t>
      </w:r>
      <w:r>
        <w:t xml:space="preserve"> </w:t>
      </w:r>
    </w:p>
  </w:footnote>
  <w:footnote w:id="10">
    <w:p w14:paraId="74ADD094" w14:textId="77777777" w:rsidR="005947C0" w:rsidRDefault="008B201F">
      <w:pPr>
        <w:pStyle w:val="footnotedescription"/>
        <w:spacing w:line="265" w:lineRule="auto"/>
        <w:ind w:right="15"/>
      </w:pPr>
      <w:r>
        <w:rPr>
          <w:rStyle w:val="footnotemark"/>
        </w:rPr>
        <w:footnoteRef/>
      </w:r>
      <w:r>
        <w:t xml:space="preserve"> Iwan Hermawan, Ushul Fiqh: Metode Kajian Hukum Islam (Kuningan: Hidayatul Qur’an, 2019), 165. </w:t>
      </w:r>
    </w:p>
  </w:footnote>
  <w:footnote w:id="11">
    <w:p w14:paraId="4B27B700" w14:textId="77777777" w:rsidR="005947C0" w:rsidRDefault="008B201F">
      <w:pPr>
        <w:pStyle w:val="footnotedescription"/>
        <w:spacing w:line="244" w:lineRule="auto"/>
      </w:pPr>
      <w:r>
        <w:rPr>
          <w:rStyle w:val="footnotemark"/>
        </w:rPr>
        <w:footnoteRef/>
      </w:r>
      <w:r>
        <w:t xml:space="preserve"> Mustafa Zaid, al-Maslahah fi al-Tashri’ al-Islami wa Najm al-Din al-Tufi, (Mesir: Dar al-Fikr al-Arabi, 1954), 113. </w:t>
      </w:r>
    </w:p>
  </w:footnote>
  <w:footnote w:id="12">
    <w:p w14:paraId="4DA450F1" w14:textId="77777777" w:rsidR="005947C0" w:rsidRDefault="008B201F">
      <w:pPr>
        <w:pStyle w:val="footnotedescription"/>
        <w:spacing w:line="258" w:lineRule="auto"/>
        <w:ind w:right="9"/>
      </w:pPr>
      <w:r>
        <w:rPr>
          <w:rStyle w:val="footnotemark"/>
        </w:rPr>
        <w:footnoteRef/>
      </w:r>
      <w:r>
        <w:t xml:space="preserve"> A. Halil Thahir, </w:t>
      </w:r>
      <w:r>
        <w:rPr>
          <w:i/>
        </w:rPr>
        <w:t xml:space="preserve">Ijtihad Maqasidi Rekonstruksi Hukum Islam Berbasis Interkoneksitas Maslahah, </w:t>
      </w:r>
      <w:r>
        <w:t xml:space="preserve">(Jombang: Wasilahbuku, 2023), 61. </w:t>
      </w:r>
    </w:p>
  </w:footnote>
  <w:footnote w:id="13">
    <w:p w14:paraId="33C21481" w14:textId="77777777" w:rsidR="005947C0" w:rsidRDefault="008B201F">
      <w:pPr>
        <w:pStyle w:val="footnotedescription"/>
        <w:spacing w:after="6"/>
      </w:pPr>
      <w:r>
        <w:rPr>
          <w:rStyle w:val="footnotemark"/>
        </w:rPr>
        <w:footnoteRef/>
      </w:r>
      <w:r>
        <w:t xml:space="preserve"> A. Halil Thahir, </w:t>
      </w:r>
      <w:r>
        <w:rPr>
          <w:i/>
        </w:rPr>
        <w:t xml:space="preserve">Ijtihad Maqasidi.., </w:t>
      </w:r>
      <w:r>
        <w:t>62.</w:t>
      </w:r>
      <w:r>
        <w:rPr>
          <w:rFonts w:ascii="Calibri" w:eastAsia="Calibri" w:hAnsi="Calibri" w:cs="Calibri"/>
        </w:rPr>
        <w:t xml:space="preserve"> </w:t>
      </w:r>
    </w:p>
  </w:footnote>
  <w:footnote w:id="14">
    <w:p w14:paraId="3799625E" w14:textId="77777777" w:rsidR="005947C0" w:rsidRDefault="008B201F">
      <w:pPr>
        <w:pStyle w:val="footnotedescription"/>
        <w:spacing w:line="247" w:lineRule="auto"/>
        <w:jc w:val="both"/>
      </w:pPr>
      <w:r>
        <w:rPr>
          <w:rStyle w:val="footnotemark"/>
        </w:rPr>
        <w:footnoteRef/>
      </w:r>
      <w:r>
        <w:t xml:space="preserve"> Lajnah Pentashihan Mushaf Al-Qur’an, </w:t>
      </w:r>
      <w:r>
        <w:rPr>
          <w:i/>
        </w:rPr>
        <w:t xml:space="preserve">Al-Qur’an dan terjemahannya, </w:t>
      </w:r>
      <w:r>
        <w:t xml:space="preserve">(Edisi Penyempurnaan: 2019), 27. </w:t>
      </w:r>
    </w:p>
  </w:footnote>
  <w:footnote w:id="15">
    <w:p w14:paraId="125F9142" w14:textId="77777777" w:rsidR="005947C0" w:rsidRDefault="008B201F">
      <w:pPr>
        <w:pStyle w:val="footnotedescription"/>
      </w:pPr>
      <w:r>
        <w:rPr>
          <w:rStyle w:val="footnotemark"/>
        </w:rPr>
        <w:footnoteRef/>
      </w:r>
      <w:r>
        <w:t xml:space="preserve"> Rusyada Basri, </w:t>
      </w:r>
      <w:r>
        <w:rPr>
          <w:i/>
        </w:rPr>
        <w:t xml:space="preserve">Pandangan at-Tufi dan as-Syatibi Tentang Maslahat (Studi Analisis </w:t>
      </w:r>
    </w:p>
    <w:p w14:paraId="77545409" w14:textId="77777777" w:rsidR="005947C0" w:rsidRDefault="008B201F">
      <w:pPr>
        <w:pStyle w:val="footnotedescription"/>
      </w:pPr>
      <w:r>
        <w:rPr>
          <w:i/>
        </w:rPr>
        <w:t>Perbandingan)</w:t>
      </w:r>
      <w:r>
        <w:t xml:space="preserve">, Jurnal Hukum Diktum, Vol.9, No.2, 2011, 176-186, </w:t>
      </w:r>
    </w:p>
    <w:p w14:paraId="7928CCE9" w14:textId="77777777" w:rsidR="005947C0" w:rsidRDefault="0002046A">
      <w:pPr>
        <w:pStyle w:val="footnotedescription"/>
      </w:pPr>
      <w:hyperlink r:id="rId1">
        <w:r w:rsidR="008B201F">
          <w:t>(</w:t>
        </w:r>
      </w:hyperlink>
      <w:hyperlink r:id="rId2">
        <w:r w:rsidR="008B201F">
          <w:rPr>
            <w:color w:val="0563C1"/>
            <w:u w:val="single" w:color="0563C1"/>
          </w:rPr>
          <w:t>https://ejurnal.iainpare.ac.id/index.php/diktum/article/view/290</w:t>
        </w:r>
      </w:hyperlink>
      <w:hyperlink r:id="rId3">
        <w:r w:rsidR="008B201F">
          <w:t>)</w:t>
        </w:r>
      </w:hyperlink>
      <w:r w:rsidR="008B201F">
        <w:t xml:space="preserve">  </w:t>
      </w:r>
    </w:p>
  </w:footnote>
  <w:footnote w:id="16">
    <w:p w14:paraId="2D49F95C" w14:textId="77777777" w:rsidR="005947C0" w:rsidRDefault="008B201F">
      <w:pPr>
        <w:pStyle w:val="footnotedescription"/>
        <w:spacing w:line="264" w:lineRule="auto"/>
        <w:ind w:right="30"/>
      </w:pPr>
      <w:r>
        <w:rPr>
          <w:rStyle w:val="footnotemark"/>
        </w:rPr>
        <w:footnoteRef/>
      </w:r>
      <w:r>
        <w:t xml:space="preserve"> Iwan Hermawan, Ushul Fiqh: Metode Kajian Hukum Islam, (Kuningan: Hidayatul Quran, 2019), hlm. 92. </w:t>
      </w:r>
    </w:p>
  </w:footnote>
  <w:footnote w:id="17">
    <w:p w14:paraId="09F01BDC" w14:textId="77777777" w:rsidR="00A9309D" w:rsidRPr="007036DE" w:rsidRDefault="00A9309D" w:rsidP="00A9309D">
      <w:pPr>
        <w:pStyle w:val="FootnoteText"/>
      </w:pPr>
      <w:r>
        <w:rPr>
          <w:rStyle w:val="FootnoteReference"/>
        </w:rPr>
        <w:footnoteRef/>
      </w:r>
      <w:r>
        <w:t xml:space="preserve"> </w:t>
      </w:r>
      <w:r w:rsidRPr="007036DE">
        <w:rPr>
          <w:rFonts w:asciiTheme="majorBidi" w:hAnsiTheme="majorBidi" w:cstheme="majorBidi"/>
        </w:rPr>
        <w:t>Iwan Hermawan</w:t>
      </w:r>
      <w:r>
        <w:rPr>
          <w:rFonts w:asciiTheme="majorBidi" w:hAnsiTheme="majorBidi" w:cstheme="majorBidi"/>
          <w:i/>
          <w:iCs/>
        </w:rPr>
        <w:t xml:space="preserve">, Ushul Fiqh.., </w:t>
      </w:r>
      <w:r>
        <w:rPr>
          <w:rFonts w:asciiTheme="majorBidi" w:hAnsiTheme="majorBidi" w:cstheme="majorBidi"/>
        </w:rPr>
        <w:t>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B890" w14:textId="77777777" w:rsidR="00297911" w:rsidRDefault="00297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D77E" w14:textId="6B8B3CAE" w:rsidR="00A20353" w:rsidRPr="00F54911" w:rsidRDefault="00A20353" w:rsidP="00F54911">
    <w:pPr>
      <w:pStyle w:val="Header"/>
      <w:pBdr>
        <w:bottom w:val="single" w:sz="4" w:space="1" w:color="D9D9D9" w:themeColor="background1" w:themeShade="D9"/>
      </w:pBdr>
      <w:ind w:firstLine="0"/>
      <w:rPr>
        <w:rFonts w:asciiTheme="majorBidi" w:hAnsiTheme="majorBidi" w:cstheme="majorBidi"/>
        <w:lang w:val="en-US"/>
      </w:rPr>
    </w:pPr>
    <w:bookmarkStart w:id="3" w:name="_Hlk123560382"/>
    <w:bookmarkStart w:id="4" w:name="_Hlk123560383"/>
    <w:bookmarkStart w:id="5" w:name="_Hlk183884239"/>
    <w:bookmarkStart w:id="6" w:name="_Hlk183884240"/>
    <w:bookmarkStart w:id="7" w:name="_Hlk183884980"/>
    <w:bookmarkStart w:id="8" w:name="_Hlk183884981"/>
    <w:bookmarkStart w:id="9" w:name="_Hlk183885448"/>
    <w:bookmarkStart w:id="10" w:name="_Hlk183885449"/>
    <w:r w:rsidRPr="001B367E">
      <w:rPr>
        <w:rFonts w:asciiTheme="majorBidi" w:hAnsiTheme="majorBidi" w:cstheme="majorBidi"/>
        <w:b/>
        <w:bCs/>
      </w:rPr>
      <w:t>Jurnal Ilmu Hukum</w:t>
    </w:r>
    <w:r w:rsidRPr="001B367E">
      <w:rPr>
        <w:rFonts w:asciiTheme="majorBidi" w:hAnsiTheme="majorBidi" w:cstheme="majorBidi"/>
      </w:rPr>
      <w:t xml:space="preserve">, Vol. </w:t>
    </w:r>
    <w:r>
      <w:rPr>
        <w:rFonts w:asciiTheme="majorBidi" w:hAnsiTheme="majorBidi" w:cstheme="majorBidi"/>
      </w:rPr>
      <w:t>3</w:t>
    </w:r>
    <w:r w:rsidRPr="001B367E">
      <w:rPr>
        <w:rFonts w:asciiTheme="majorBidi" w:hAnsiTheme="majorBidi" w:cstheme="majorBidi"/>
      </w:rPr>
      <w:t xml:space="preserve"> No. </w:t>
    </w:r>
    <w:r>
      <w:rPr>
        <w:rFonts w:asciiTheme="majorBidi" w:hAnsiTheme="majorBidi" w:cstheme="majorBidi"/>
      </w:rPr>
      <w:t>2</w:t>
    </w:r>
    <w:r w:rsidRPr="001B367E">
      <w:rPr>
        <w:rFonts w:asciiTheme="majorBidi" w:hAnsiTheme="majorBidi" w:cstheme="majorBidi"/>
      </w:rPr>
      <w:t xml:space="preserve"> </w:t>
    </w:r>
    <w:r>
      <w:rPr>
        <w:rFonts w:asciiTheme="majorBidi" w:hAnsiTheme="majorBidi" w:cstheme="majorBidi"/>
      </w:rPr>
      <w:t>Tahun</w:t>
    </w:r>
    <w:r w:rsidRPr="001B367E">
      <w:rPr>
        <w:rFonts w:asciiTheme="majorBidi" w:hAnsiTheme="majorBidi" w:cstheme="majorBidi"/>
      </w:rPr>
      <w:t xml:space="preserve"> 202</w:t>
    </w:r>
    <w:bookmarkEnd w:id="3"/>
    <w:bookmarkEnd w:id="4"/>
    <w:bookmarkEnd w:id="5"/>
    <w:bookmarkEnd w:id="6"/>
    <w:bookmarkEnd w:id="7"/>
    <w:bookmarkEnd w:id="8"/>
    <w:bookmarkEnd w:id="9"/>
    <w:bookmarkEnd w:id="10"/>
    <w:r>
      <w:rPr>
        <w:rFonts w:asciiTheme="majorBidi" w:hAnsiTheme="majorBidi" w:cstheme="majorBidi"/>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7C85" w14:textId="77777777" w:rsidR="00297911" w:rsidRDefault="00297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45427"/>
    <w:multiLevelType w:val="hybridMultilevel"/>
    <w:tmpl w:val="6394C0D6"/>
    <w:lvl w:ilvl="0" w:tplc="675EFC24">
      <w:start w:val="1"/>
      <w:numFmt w:val="lowerLetter"/>
      <w:lvlText w:val="%1."/>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E241C">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3202C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47422">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6B85E">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02325C">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56EE7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2BF6C">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4057D0">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C0"/>
    <w:rsid w:val="0002046A"/>
    <w:rsid w:val="00297911"/>
    <w:rsid w:val="005947C0"/>
    <w:rsid w:val="006414C0"/>
    <w:rsid w:val="006508A5"/>
    <w:rsid w:val="00714B1B"/>
    <w:rsid w:val="008B201F"/>
    <w:rsid w:val="008F2F96"/>
    <w:rsid w:val="009A40D6"/>
    <w:rsid w:val="00A20353"/>
    <w:rsid w:val="00A927C0"/>
    <w:rsid w:val="00A9309D"/>
    <w:rsid w:val="00B17C84"/>
    <w:rsid w:val="00B923A9"/>
    <w:rsid w:val="00D41A40"/>
    <w:rsid w:val="00D80C2F"/>
    <w:rsid w:val="00E8672A"/>
    <w:rsid w:val="00F54911"/>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A16A4"/>
  <w15:docId w15:val="{2AB9FFE6-BA5A-445F-8DE9-4A389E0E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9" w:lineRule="auto"/>
      <w:ind w:right="54" w:firstLine="57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A9309D"/>
    <w:pPr>
      <w:spacing w:after="160" w:line="259" w:lineRule="auto"/>
      <w:ind w:left="720" w:right="0" w:firstLine="0"/>
      <w:contextualSpacing/>
      <w:jc w:val="left"/>
    </w:pPr>
    <w:rPr>
      <w:rFonts w:asciiTheme="minorHAnsi" w:eastAsiaTheme="minorEastAsia" w:hAnsiTheme="minorHAnsi" w:cstheme="minorBidi"/>
      <w:color w:val="auto"/>
      <w:sz w:val="22"/>
    </w:rPr>
  </w:style>
  <w:style w:type="paragraph" w:styleId="FootnoteText">
    <w:name w:val="footnote text"/>
    <w:basedOn w:val="Normal"/>
    <w:link w:val="FootnoteTextChar"/>
    <w:uiPriority w:val="99"/>
    <w:semiHidden/>
    <w:unhideWhenUsed/>
    <w:rsid w:val="00A9309D"/>
    <w:pPr>
      <w:spacing w:after="0" w:line="240" w:lineRule="auto"/>
      <w:ind w:right="0" w:firstLine="0"/>
      <w:jc w:val="left"/>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A9309D"/>
    <w:rPr>
      <w:sz w:val="20"/>
      <w:szCs w:val="20"/>
    </w:rPr>
  </w:style>
  <w:style w:type="character" w:styleId="FootnoteReference">
    <w:name w:val="footnote reference"/>
    <w:basedOn w:val="DefaultParagraphFont"/>
    <w:uiPriority w:val="99"/>
    <w:semiHidden/>
    <w:unhideWhenUsed/>
    <w:rsid w:val="00A9309D"/>
    <w:rPr>
      <w:vertAlign w:val="superscript"/>
    </w:rPr>
  </w:style>
  <w:style w:type="paragraph" w:styleId="NormalWeb">
    <w:name w:val="Normal (Web)"/>
    <w:basedOn w:val="Normal"/>
    <w:uiPriority w:val="99"/>
    <w:unhideWhenUsed/>
    <w:rsid w:val="00714B1B"/>
    <w:pPr>
      <w:spacing w:before="100" w:beforeAutospacing="1" w:after="100" w:afterAutospacing="1" w:line="240" w:lineRule="auto"/>
      <w:ind w:right="0" w:firstLine="0"/>
      <w:jc w:val="left"/>
    </w:pPr>
    <w:rPr>
      <w:color w:val="auto"/>
      <w:szCs w:val="24"/>
      <w:lang w:eastAsia="id-ID"/>
    </w:rPr>
  </w:style>
  <w:style w:type="character" w:styleId="Emphasis">
    <w:name w:val="Emphasis"/>
    <w:basedOn w:val="DefaultParagraphFont"/>
    <w:uiPriority w:val="20"/>
    <w:qFormat/>
    <w:rsid w:val="00714B1B"/>
    <w:rPr>
      <w:i/>
      <w:iCs/>
    </w:rPr>
  </w:style>
  <w:style w:type="paragraph" w:styleId="Header">
    <w:name w:val="header"/>
    <w:basedOn w:val="Normal"/>
    <w:link w:val="HeaderChar"/>
    <w:uiPriority w:val="99"/>
    <w:unhideWhenUsed/>
    <w:rsid w:val="00A20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5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20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5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581245">
      <w:bodyDiv w:val="1"/>
      <w:marLeft w:val="0"/>
      <w:marRight w:val="0"/>
      <w:marTop w:val="0"/>
      <w:marBottom w:val="0"/>
      <w:divBdr>
        <w:top w:val="none" w:sz="0" w:space="0" w:color="auto"/>
        <w:left w:val="none" w:sz="0" w:space="0" w:color="auto"/>
        <w:bottom w:val="none" w:sz="0" w:space="0" w:color="auto"/>
        <w:right w:val="none" w:sz="0" w:space="0" w:color="auto"/>
      </w:divBdr>
    </w:div>
    <w:div w:id="944729664">
      <w:bodyDiv w:val="1"/>
      <w:marLeft w:val="0"/>
      <w:marRight w:val="0"/>
      <w:marTop w:val="0"/>
      <w:marBottom w:val="0"/>
      <w:divBdr>
        <w:top w:val="none" w:sz="0" w:space="0" w:color="auto"/>
        <w:left w:val="none" w:sz="0" w:space="0" w:color="auto"/>
        <w:bottom w:val="none" w:sz="0" w:space="0" w:color="auto"/>
        <w:right w:val="none" w:sz="0" w:space="0" w:color="auto"/>
      </w:divBdr>
    </w:div>
    <w:div w:id="1364021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jurnal.iainpare.ac.id/index.php/diktum/article/view/290" TargetMode="External"/><Relationship Id="rId2" Type="http://schemas.openxmlformats.org/officeDocument/2006/relationships/hyperlink" Target="https://ejurnal.iainpare.ac.id/index.php/diktum/article/view/290" TargetMode="External"/><Relationship Id="rId1" Type="http://schemas.openxmlformats.org/officeDocument/2006/relationships/hyperlink" Target="https://ejurnal.iainpare.ac.id/index.php/diktum/article/view/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Mukmin AW</cp:lastModifiedBy>
  <cp:revision>11</cp:revision>
  <dcterms:created xsi:type="dcterms:W3CDTF">2025-06-16T04:08:00Z</dcterms:created>
  <dcterms:modified xsi:type="dcterms:W3CDTF">2025-08-31T09:13:00Z</dcterms:modified>
</cp:coreProperties>
</file>